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79BB" w14:textId="77777777" w:rsidR="00482315" w:rsidRDefault="00482315" w:rsidP="004819A0">
      <w:pPr>
        <w:ind w:left="567" w:hanging="567"/>
      </w:pPr>
    </w:p>
    <w:p w14:paraId="4087AB43" w14:textId="77777777" w:rsidR="00482315" w:rsidRDefault="00482315">
      <w:pPr>
        <w:ind w:left="567" w:hanging="567"/>
        <w:jc w:val="center"/>
      </w:pPr>
      <w:r>
        <w:rPr>
          <w:b/>
          <w:bCs/>
        </w:rPr>
        <w:t>ZUSAMMENFASSUNG DER MERKMALE DES ARZNEIMITTELS</w:t>
      </w:r>
    </w:p>
    <w:p w14:paraId="2FC20940" w14:textId="77777777" w:rsidR="009C6CB2" w:rsidRDefault="009C6CB2">
      <w:pPr>
        <w:ind w:left="567" w:hanging="567"/>
      </w:pPr>
    </w:p>
    <w:p w14:paraId="41E9A2E8" w14:textId="77777777" w:rsidR="009C6CB2" w:rsidRDefault="009C6CB2">
      <w:pPr>
        <w:ind w:left="567" w:hanging="567"/>
      </w:pPr>
    </w:p>
    <w:p w14:paraId="3B1B8323" w14:textId="77777777" w:rsidR="00482315" w:rsidRDefault="00482315">
      <w:pPr>
        <w:ind w:left="567" w:hanging="567"/>
      </w:pPr>
      <w:r>
        <w:rPr>
          <w:b/>
        </w:rPr>
        <w:t>1.</w:t>
      </w:r>
      <w:r>
        <w:rPr>
          <w:b/>
        </w:rPr>
        <w:tab/>
        <w:t>BEZEICHNUNG DES ARZNEIMITTELS</w:t>
      </w:r>
    </w:p>
    <w:p w14:paraId="29829BED" w14:textId="77777777" w:rsidR="00482315" w:rsidRDefault="00482315"/>
    <w:p w14:paraId="12A48E25" w14:textId="77777777" w:rsidR="00482315" w:rsidRDefault="00AE0886">
      <w:proofErr w:type="spellStart"/>
      <w:r w:rsidRPr="00AE0886">
        <w:t>Imazol</w:t>
      </w:r>
      <w:proofErr w:type="spellEnd"/>
      <w:r w:rsidR="00314FFD">
        <w:rPr>
          <w:vertAlign w:val="superscript"/>
        </w:rPr>
        <w:t>®</w:t>
      </w:r>
      <w:r w:rsidRPr="00AE0886">
        <w:t xml:space="preserve"> </w:t>
      </w:r>
      <w:proofErr w:type="spellStart"/>
      <w:r w:rsidRPr="00AE0886">
        <w:t>comp.</w:t>
      </w:r>
      <w:proofErr w:type="spellEnd"/>
      <w:r w:rsidRPr="00AE0886">
        <w:t xml:space="preserve"> Creme</w:t>
      </w:r>
    </w:p>
    <w:p w14:paraId="4DEDDA03" w14:textId="77777777" w:rsidR="00AE0886" w:rsidRDefault="00AE0886"/>
    <w:p w14:paraId="38D18440" w14:textId="77777777" w:rsidR="00482315" w:rsidRDefault="00482315">
      <w:pPr>
        <w:ind w:left="567" w:hanging="567"/>
      </w:pPr>
      <w:r>
        <w:rPr>
          <w:b/>
        </w:rPr>
        <w:t>2.</w:t>
      </w:r>
      <w:r>
        <w:rPr>
          <w:b/>
        </w:rPr>
        <w:tab/>
        <w:t>QUALITATIVE UND QUANTITATIVE ZUSAMMENSETZUNG</w:t>
      </w:r>
    </w:p>
    <w:p w14:paraId="58CB58F3" w14:textId="77777777" w:rsidR="00482315" w:rsidRDefault="00482315"/>
    <w:p w14:paraId="0C2049FB" w14:textId="77777777" w:rsidR="00AE0886" w:rsidRDefault="00AE0886" w:rsidP="00AE0886">
      <w:r>
        <w:t>1</w:t>
      </w:r>
      <w:r w:rsidR="001C25E6">
        <w:t xml:space="preserve"> </w:t>
      </w:r>
      <w:r>
        <w:t>g Creme enthält:</w:t>
      </w:r>
    </w:p>
    <w:p w14:paraId="4DC2E4A5" w14:textId="77777777" w:rsidR="00AE0886" w:rsidRDefault="00AE0886" w:rsidP="00AE0886"/>
    <w:p w14:paraId="48CA6C33" w14:textId="77777777" w:rsidR="00AE0886" w:rsidRPr="00271A3D" w:rsidRDefault="00AE0886" w:rsidP="00AE0886">
      <w:pPr>
        <w:rPr>
          <w:lang w:val="nl-NL"/>
        </w:rPr>
      </w:pPr>
      <w:proofErr w:type="spellStart"/>
      <w:r w:rsidRPr="00271A3D">
        <w:rPr>
          <w:lang w:val="nl-NL"/>
        </w:rPr>
        <w:t>Wirkstoffe</w:t>
      </w:r>
      <w:proofErr w:type="spellEnd"/>
      <w:r w:rsidRPr="00271A3D">
        <w:rPr>
          <w:lang w:val="nl-NL"/>
        </w:rPr>
        <w:t>:</w:t>
      </w:r>
    </w:p>
    <w:p w14:paraId="18A5CDB3" w14:textId="77777777" w:rsidR="00AE0886" w:rsidRPr="00271A3D" w:rsidRDefault="00AE0886" w:rsidP="00AE0886">
      <w:pPr>
        <w:rPr>
          <w:lang w:val="nl-NL"/>
        </w:rPr>
      </w:pPr>
      <w:proofErr w:type="spellStart"/>
      <w:r w:rsidRPr="00271A3D">
        <w:rPr>
          <w:lang w:val="nl-NL"/>
        </w:rPr>
        <w:t>Clotrimazol</w:t>
      </w:r>
      <w:proofErr w:type="spellEnd"/>
      <w:r w:rsidRPr="00271A3D">
        <w:rPr>
          <w:lang w:val="nl-NL"/>
        </w:rPr>
        <w:t xml:space="preserve"> 10 mg</w:t>
      </w:r>
    </w:p>
    <w:p w14:paraId="2BD11875" w14:textId="77777777" w:rsidR="00AE0886" w:rsidRPr="00271A3D" w:rsidRDefault="00AE0886" w:rsidP="00AE0886">
      <w:pPr>
        <w:rPr>
          <w:lang w:val="nl-NL"/>
        </w:rPr>
      </w:pPr>
      <w:proofErr w:type="spellStart"/>
      <w:r w:rsidRPr="00271A3D">
        <w:rPr>
          <w:lang w:val="nl-NL"/>
        </w:rPr>
        <w:t>Prednisolonacetat</w:t>
      </w:r>
      <w:proofErr w:type="spellEnd"/>
      <w:r w:rsidRPr="00271A3D">
        <w:rPr>
          <w:lang w:val="nl-NL"/>
        </w:rPr>
        <w:t xml:space="preserve"> (Ph. </w:t>
      </w:r>
      <w:proofErr w:type="spellStart"/>
      <w:r w:rsidRPr="00271A3D">
        <w:rPr>
          <w:lang w:val="nl-NL"/>
        </w:rPr>
        <w:t>Eur</w:t>
      </w:r>
      <w:proofErr w:type="spellEnd"/>
      <w:r w:rsidRPr="00271A3D">
        <w:rPr>
          <w:lang w:val="nl-NL"/>
        </w:rPr>
        <w:t>.) 5 mg</w:t>
      </w:r>
    </w:p>
    <w:p w14:paraId="0FA3FE79" w14:textId="77777777" w:rsidR="00AE0886" w:rsidRDefault="00AE0886" w:rsidP="00AE0886">
      <w:proofErr w:type="spellStart"/>
      <w:r>
        <w:t>Hexamidindiisetionat</w:t>
      </w:r>
      <w:proofErr w:type="spellEnd"/>
      <w:r>
        <w:t xml:space="preserve"> 2,5 mg</w:t>
      </w:r>
    </w:p>
    <w:p w14:paraId="216623C1" w14:textId="77777777" w:rsidR="00AE0886" w:rsidRDefault="00AE0886" w:rsidP="00AE0886"/>
    <w:p w14:paraId="667654A4" w14:textId="77777777" w:rsidR="00AE0886" w:rsidRDefault="00AE0886" w:rsidP="00AE0886">
      <w:r>
        <w:t>Sonstiger Bestandteil</w:t>
      </w:r>
      <w:r w:rsidR="007E4565">
        <w:t xml:space="preserve"> mit bekannter Wirkung</w:t>
      </w:r>
      <w:r>
        <w:t>:</w:t>
      </w:r>
    </w:p>
    <w:p w14:paraId="6499F3E3" w14:textId="77777777" w:rsidR="00AE0886" w:rsidRDefault="00AE0886" w:rsidP="00AE0886">
      <w:proofErr w:type="spellStart"/>
      <w:r>
        <w:t>Butylhydroxyanisol</w:t>
      </w:r>
      <w:proofErr w:type="spellEnd"/>
      <w:r>
        <w:t xml:space="preserve"> (</w:t>
      </w:r>
      <w:proofErr w:type="spellStart"/>
      <w:r>
        <w:t>Ph</w:t>
      </w:r>
      <w:proofErr w:type="spellEnd"/>
      <w:r>
        <w:t>. Eur.)</w:t>
      </w:r>
    </w:p>
    <w:p w14:paraId="012E4348" w14:textId="77777777" w:rsidR="00AE0886" w:rsidRDefault="00AE0886" w:rsidP="00AE0886"/>
    <w:p w14:paraId="66D7BF46" w14:textId="77777777" w:rsidR="00482315" w:rsidRDefault="00A1700A" w:rsidP="00AE0886">
      <w:r>
        <w:t>V</w:t>
      </w:r>
      <w:r w:rsidR="00AE0886">
        <w:t>ollständige Auflistung der sonstigen Bestandteile</w:t>
      </w:r>
      <w:r>
        <w:t>,</w:t>
      </w:r>
      <w:r w:rsidR="00AE0886">
        <w:t xml:space="preserve"> siehe Abschnitt 6.1.</w:t>
      </w:r>
    </w:p>
    <w:p w14:paraId="7DD1E161" w14:textId="77777777" w:rsidR="00AE0886" w:rsidRPr="004819A0" w:rsidRDefault="00AE0886" w:rsidP="00AE0886"/>
    <w:p w14:paraId="77C042B1" w14:textId="77777777" w:rsidR="00482315" w:rsidRDefault="00482315">
      <w:pPr>
        <w:ind w:left="567" w:hanging="567"/>
      </w:pPr>
      <w:r>
        <w:rPr>
          <w:b/>
        </w:rPr>
        <w:t>3.</w:t>
      </w:r>
      <w:r>
        <w:rPr>
          <w:b/>
        </w:rPr>
        <w:tab/>
        <w:t>DARREICHUNGSFORM</w:t>
      </w:r>
    </w:p>
    <w:p w14:paraId="25CB7544" w14:textId="77777777" w:rsidR="00482315" w:rsidRDefault="00482315"/>
    <w:p w14:paraId="095E7A03" w14:textId="77777777" w:rsidR="00482315" w:rsidRDefault="00AE0886">
      <w:r w:rsidRPr="00AE0886">
        <w:t>Creme zum Auftragen auf die Haut.</w:t>
      </w:r>
    </w:p>
    <w:p w14:paraId="087B836F" w14:textId="77777777" w:rsidR="00482315" w:rsidRDefault="00482315"/>
    <w:p w14:paraId="056DF199" w14:textId="77777777" w:rsidR="00482315" w:rsidRDefault="00482315">
      <w:pPr>
        <w:ind w:left="567" w:hanging="567"/>
      </w:pPr>
      <w:r>
        <w:rPr>
          <w:b/>
        </w:rPr>
        <w:t>4.</w:t>
      </w:r>
      <w:r>
        <w:rPr>
          <w:b/>
        </w:rPr>
        <w:tab/>
        <w:t>KLINISCHE ANGABEN</w:t>
      </w:r>
    </w:p>
    <w:p w14:paraId="65DA3DDE" w14:textId="77777777" w:rsidR="00482315" w:rsidRDefault="00482315"/>
    <w:p w14:paraId="00844BD6" w14:textId="77777777" w:rsidR="00482315" w:rsidRDefault="00482315">
      <w:pPr>
        <w:ind w:left="567" w:hanging="567"/>
      </w:pPr>
      <w:r>
        <w:rPr>
          <w:b/>
        </w:rPr>
        <w:t>4.1</w:t>
      </w:r>
      <w:r>
        <w:rPr>
          <w:b/>
        </w:rPr>
        <w:tab/>
        <w:t>Anwendungsgebiete</w:t>
      </w:r>
    </w:p>
    <w:p w14:paraId="6E5E1094" w14:textId="77777777" w:rsidR="00482315" w:rsidRDefault="00482315"/>
    <w:p w14:paraId="29AEF4AE" w14:textId="77777777" w:rsidR="00AE0886" w:rsidRPr="00AE0886" w:rsidRDefault="00AB2997" w:rsidP="00271A3D">
      <w:pPr>
        <w:jc w:val="both"/>
      </w:pPr>
      <w:r w:rsidRPr="00AB2997">
        <w:t>Dermatomykosen, die mit Clotrimazol behandelt werden können</w:t>
      </w:r>
      <w:r w:rsidR="001C25E6">
        <w:t>,</w:t>
      </w:r>
      <w:r w:rsidRPr="00AB2997">
        <w:t xml:space="preserve"> und begleitende bakterielle </w:t>
      </w:r>
      <w:proofErr w:type="spellStart"/>
      <w:r w:rsidRPr="00AB2997">
        <w:t>Superinfektonen</w:t>
      </w:r>
      <w:proofErr w:type="spellEnd"/>
      <w:r w:rsidRPr="00AB2997">
        <w:t xml:space="preserve">, bei denen </w:t>
      </w:r>
      <w:proofErr w:type="spellStart"/>
      <w:r w:rsidRPr="00AB2997">
        <w:t>Hexamidin</w:t>
      </w:r>
      <w:proofErr w:type="spellEnd"/>
      <w:r w:rsidRPr="00AB2997">
        <w:t xml:space="preserve"> indiziert ist (z.B. Interdigitalmykosen)</w:t>
      </w:r>
      <w:r w:rsidR="001C25E6">
        <w:t>,</w:t>
      </w:r>
      <w:r w:rsidRPr="00AB2997">
        <w:t xml:space="preserve"> sowie zur Behandlung von entzündlichen Hautveränderungen im Rahmen der Dermatomykose, bei denen schwach wirksame, </w:t>
      </w:r>
      <w:proofErr w:type="spellStart"/>
      <w:r w:rsidRPr="00AB2997">
        <w:t>topisch</w:t>
      </w:r>
      <w:proofErr w:type="spellEnd"/>
      <w:r w:rsidRPr="00AB2997">
        <w:t xml:space="preserve"> anzuwendende </w:t>
      </w:r>
      <w:proofErr w:type="spellStart"/>
      <w:r w:rsidR="005F4D85">
        <w:t>Gluko</w:t>
      </w:r>
      <w:r w:rsidR="003410FA">
        <w:t>k</w:t>
      </w:r>
      <w:r w:rsidRPr="00AB2997">
        <w:t>orti</w:t>
      </w:r>
      <w:r w:rsidR="003410FA">
        <w:t>k</w:t>
      </w:r>
      <w:r w:rsidRPr="00AB2997">
        <w:t>osteroide</w:t>
      </w:r>
      <w:proofErr w:type="spellEnd"/>
      <w:r w:rsidRPr="00AB2997">
        <w:t xml:space="preserve"> angezeigt sind.</w:t>
      </w:r>
      <w:r w:rsidR="00AE0886" w:rsidRPr="00AE0886">
        <w:t xml:space="preserve"> </w:t>
      </w:r>
    </w:p>
    <w:p w14:paraId="37ED806B" w14:textId="77777777" w:rsidR="00482315" w:rsidRDefault="00482315" w:rsidP="00271A3D">
      <w:pPr>
        <w:jc w:val="both"/>
      </w:pPr>
    </w:p>
    <w:p w14:paraId="2D644E1B" w14:textId="77777777" w:rsidR="00482315" w:rsidRDefault="00482315" w:rsidP="00271A3D">
      <w:pPr>
        <w:ind w:left="567" w:hanging="567"/>
        <w:jc w:val="both"/>
      </w:pPr>
      <w:r>
        <w:rPr>
          <w:b/>
        </w:rPr>
        <w:t>4.2</w:t>
      </w:r>
      <w:r>
        <w:rPr>
          <w:b/>
        </w:rPr>
        <w:tab/>
        <w:t>Dosierung</w:t>
      </w:r>
      <w:r w:rsidR="00A1700A">
        <w:rPr>
          <w:b/>
        </w:rPr>
        <w:t xml:space="preserve"> und</w:t>
      </w:r>
      <w:r w:rsidR="00B31568">
        <w:rPr>
          <w:b/>
        </w:rPr>
        <w:t xml:space="preserve"> Art</w:t>
      </w:r>
      <w:r w:rsidR="00A1700A">
        <w:rPr>
          <w:b/>
        </w:rPr>
        <w:t xml:space="preserve"> </w:t>
      </w:r>
      <w:r>
        <w:rPr>
          <w:b/>
        </w:rPr>
        <w:t>der Anwendung</w:t>
      </w:r>
    </w:p>
    <w:p w14:paraId="7C15355A" w14:textId="77777777" w:rsidR="00482315" w:rsidRDefault="00482315" w:rsidP="00271A3D">
      <w:pPr>
        <w:jc w:val="both"/>
      </w:pPr>
    </w:p>
    <w:p w14:paraId="54ACABD7" w14:textId="77777777" w:rsidR="00D67C27" w:rsidRPr="0002176E" w:rsidRDefault="00D67C27" w:rsidP="00271A3D">
      <w:pPr>
        <w:jc w:val="both"/>
        <w:rPr>
          <w:i/>
        </w:rPr>
      </w:pPr>
      <w:r w:rsidRPr="0002176E">
        <w:rPr>
          <w:i/>
        </w:rPr>
        <w:t>Erwachsene, Jugendliche und Kinder ab 1 Monat</w:t>
      </w:r>
    </w:p>
    <w:p w14:paraId="7F49318A" w14:textId="77777777" w:rsidR="00AE0886" w:rsidRPr="00AE0886" w:rsidRDefault="00AE0886" w:rsidP="00271A3D">
      <w:pPr>
        <w:jc w:val="both"/>
        <w:rPr>
          <w:szCs w:val="22"/>
        </w:rPr>
      </w:pPr>
      <w:r w:rsidRPr="00AE0886">
        <w:rPr>
          <w:szCs w:val="22"/>
        </w:rPr>
        <w:t>Soweit nicht a</w:t>
      </w:r>
      <w:r w:rsidR="00221D2A">
        <w:rPr>
          <w:szCs w:val="22"/>
        </w:rPr>
        <w:t>nders verordnet, sollen die er</w:t>
      </w:r>
      <w:r w:rsidRPr="00AE0886">
        <w:rPr>
          <w:szCs w:val="22"/>
        </w:rPr>
        <w:t xml:space="preserve">krankten Hautstellen zweimal täglich, morgens und abends, mit </w:t>
      </w:r>
      <w:proofErr w:type="spellStart"/>
      <w:r w:rsidRPr="00AE0886">
        <w:rPr>
          <w:szCs w:val="22"/>
        </w:rPr>
        <w:t>Imazol</w:t>
      </w:r>
      <w:proofErr w:type="spellEnd"/>
      <w:r w:rsidR="00314FFD">
        <w:rPr>
          <w:szCs w:val="22"/>
          <w:vertAlign w:val="superscript"/>
        </w:rPr>
        <w:t>®</w:t>
      </w:r>
      <w:r w:rsidRPr="00AE0886">
        <w:rPr>
          <w:szCs w:val="22"/>
        </w:rPr>
        <w:t xml:space="preserve"> </w:t>
      </w:r>
      <w:proofErr w:type="spellStart"/>
      <w:r w:rsidRPr="00AE0886">
        <w:rPr>
          <w:szCs w:val="22"/>
        </w:rPr>
        <w:t>comp.</w:t>
      </w:r>
      <w:proofErr w:type="spellEnd"/>
      <w:r w:rsidRPr="00AE0886">
        <w:rPr>
          <w:szCs w:val="22"/>
        </w:rPr>
        <w:t xml:space="preserve"> Creme eingerieben werden. Für eine ca. handtellergroße Fläche ist ein etwa 0,5 cm </w:t>
      </w:r>
      <w:r w:rsidR="00347557">
        <w:rPr>
          <w:szCs w:val="22"/>
        </w:rPr>
        <w:t>langer</w:t>
      </w:r>
      <w:r w:rsidR="00347557" w:rsidRPr="00AE0886">
        <w:rPr>
          <w:szCs w:val="22"/>
        </w:rPr>
        <w:t xml:space="preserve"> </w:t>
      </w:r>
      <w:r w:rsidR="00ED7A83">
        <w:rPr>
          <w:szCs w:val="22"/>
        </w:rPr>
        <w:t>Creme</w:t>
      </w:r>
      <w:r w:rsidRPr="00AE0886">
        <w:rPr>
          <w:szCs w:val="22"/>
        </w:rPr>
        <w:t>strang ausreichend.</w:t>
      </w:r>
    </w:p>
    <w:p w14:paraId="35FE848D" w14:textId="77777777" w:rsidR="00AE0886" w:rsidRPr="00AE0886" w:rsidRDefault="00AE0886" w:rsidP="00271A3D">
      <w:pPr>
        <w:jc w:val="both"/>
        <w:rPr>
          <w:szCs w:val="22"/>
        </w:rPr>
      </w:pPr>
      <w:proofErr w:type="spellStart"/>
      <w:r w:rsidRPr="00AE0886">
        <w:rPr>
          <w:szCs w:val="22"/>
        </w:rPr>
        <w:t>Imazol</w:t>
      </w:r>
      <w:proofErr w:type="spellEnd"/>
      <w:r w:rsidR="00314FFD">
        <w:rPr>
          <w:szCs w:val="22"/>
          <w:vertAlign w:val="superscript"/>
        </w:rPr>
        <w:t>®</w:t>
      </w:r>
      <w:r w:rsidRPr="00AE0886">
        <w:rPr>
          <w:szCs w:val="22"/>
        </w:rPr>
        <w:t xml:space="preserve"> </w:t>
      </w:r>
      <w:proofErr w:type="spellStart"/>
      <w:r w:rsidRPr="00AE0886">
        <w:rPr>
          <w:szCs w:val="22"/>
        </w:rPr>
        <w:t>comp.</w:t>
      </w:r>
      <w:proofErr w:type="spellEnd"/>
      <w:r w:rsidR="00221D2A">
        <w:rPr>
          <w:szCs w:val="22"/>
        </w:rPr>
        <w:t xml:space="preserve"> Creme sollte dünn auf die er</w:t>
      </w:r>
      <w:r w:rsidRPr="00AE0886">
        <w:rPr>
          <w:szCs w:val="22"/>
        </w:rPr>
        <w:t xml:space="preserve">krankten Hautstellen </w:t>
      </w:r>
      <w:r w:rsidR="007E1EC1">
        <w:rPr>
          <w:szCs w:val="22"/>
        </w:rPr>
        <w:t>und geringfü</w:t>
      </w:r>
      <w:r w:rsidR="007E1EC1" w:rsidRPr="00AE0886">
        <w:rPr>
          <w:szCs w:val="22"/>
        </w:rPr>
        <w:t>gig über di</w:t>
      </w:r>
      <w:r w:rsidR="007E1EC1">
        <w:rPr>
          <w:szCs w:val="22"/>
        </w:rPr>
        <w:t xml:space="preserve">e Randbezirke hinaus </w:t>
      </w:r>
      <w:r w:rsidRPr="00AE0886">
        <w:rPr>
          <w:szCs w:val="22"/>
        </w:rPr>
        <w:t xml:space="preserve">aufgetragen werden. </w:t>
      </w:r>
    </w:p>
    <w:p w14:paraId="002FF429" w14:textId="77777777" w:rsidR="00AE0886" w:rsidRPr="00AE0886" w:rsidRDefault="00AE0886" w:rsidP="00271A3D">
      <w:pPr>
        <w:jc w:val="both"/>
        <w:rPr>
          <w:szCs w:val="22"/>
        </w:rPr>
      </w:pPr>
      <w:proofErr w:type="spellStart"/>
      <w:r w:rsidRPr="00AE0886">
        <w:rPr>
          <w:szCs w:val="22"/>
        </w:rPr>
        <w:t>Imazol</w:t>
      </w:r>
      <w:proofErr w:type="spellEnd"/>
      <w:r w:rsidR="00314FFD">
        <w:rPr>
          <w:szCs w:val="22"/>
          <w:vertAlign w:val="superscript"/>
        </w:rPr>
        <w:t>®</w:t>
      </w:r>
      <w:r w:rsidRPr="00AE0886">
        <w:rPr>
          <w:szCs w:val="22"/>
        </w:rPr>
        <w:t xml:space="preserve"> </w:t>
      </w:r>
      <w:proofErr w:type="spellStart"/>
      <w:r w:rsidRPr="00AE0886">
        <w:rPr>
          <w:szCs w:val="22"/>
        </w:rPr>
        <w:t>comp.</w:t>
      </w:r>
      <w:proofErr w:type="spellEnd"/>
      <w:r w:rsidRPr="00AE0886">
        <w:rPr>
          <w:szCs w:val="22"/>
        </w:rPr>
        <w:t xml:space="preserve"> Creme soll bis zum Abklingen der entzündlichen Begleiterscheinungen, in der Regel hö</w:t>
      </w:r>
      <w:r w:rsidR="00221D2A">
        <w:rPr>
          <w:szCs w:val="22"/>
        </w:rPr>
        <w:t>chstens 1 Woche, angewendet wer</w:t>
      </w:r>
      <w:r w:rsidRPr="00AE0886">
        <w:rPr>
          <w:szCs w:val="22"/>
        </w:rPr>
        <w:t xml:space="preserve">den. </w:t>
      </w:r>
    </w:p>
    <w:p w14:paraId="4AB681B1" w14:textId="77777777" w:rsidR="00AE0886" w:rsidRPr="00AE0886" w:rsidRDefault="00AE0886" w:rsidP="00271A3D">
      <w:pPr>
        <w:jc w:val="both"/>
        <w:rPr>
          <w:szCs w:val="22"/>
        </w:rPr>
      </w:pPr>
    </w:p>
    <w:p w14:paraId="569A3100" w14:textId="77777777" w:rsidR="00AE0886" w:rsidRDefault="00AE0886" w:rsidP="00271A3D">
      <w:pPr>
        <w:jc w:val="both"/>
        <w:rPr>
          <w:szCs w:val="22"/>
        </w:rPr>
      </w:pPr>
      <w:r w:rsidRPr="00AE0886">
        <w:rPr>
          <w:szCs w:val="22"/>
        </w:rPr>
        <w:t>Nach Abkl</w:t>
      </w:r>
      <w:r w:rsidR="00221D2A">
        <w:rPr>
          <w:szCs w:val="22"/>
        </w:rPr>
        <w:t>ingen der entzündlichen Erschei</w:t>
      </w:r>
      <w:r w:rsidRPr="00AE0886">
        <w:rPr>
          <w:szCs w:val="22"/>
        </w:rPr>
        <w:t xml:space="preserve">nungen muss bis zur völligen Abheilung der Pilzinfektion mit einem Antimykotikum ohne </w:t>
      </w:r>
      <w:proofErr w:type="spellStart"/>
      <w:r w:rsidRPr="00AE0886">
        <w:rPr>
          <w:szCs w:val="22"/>
        </w:rPr>
        <w:t>Kortikoidzusatz</w:t>
      </w:r>
      <w:proofErr w:type="spellEnd"/>
      <w:r w:rsidRPr="00AE0886">
        <w:rPr>
          <w:szCs w:val="22"/>
        </w:rPr>
        <w:t xml:space="preserve"> (z.B. </w:t>
      </w:r>
      <w:proofErr w:type="spellStart"/>
      <w:r w:rsidRPr="00AE0886">
        <w:rPr>
          <w:szCs w:val="22"/>
        </w:rPr>
        <w:t>Imazol</w:t>
      </w:r>
      <w:proofErr w:type="spellEnd"/>
      <w:r w:rsidR="00314FFD">
        <w:rPr>
          <w:szCs w:val="22"/>
          <w:vertAlign w:val="superscript"/>
        </w:rPr>
        <w:t>®</w:t>
      </w:r>
      <w:r w:rsidRPr="00AE0886">
        <w:rPr>
          <w:szCs w:val="22"/>
        </w:rPr>
        <w:t xml:space="preserve"> Creme plus oder </w:t>
      </w:r>
      <w:proofErr w:type="spellStart"/>
      <w:r w:rsidRPr="00AE0886">
        <w:rPr>
          <w:szCs w:val="22"/>
        </w:rPr>
        <w:t>Imazol</w:t>
      </w:r>
      <w:proofErr w:type="spellEnd"/>
      <w:r w:rsidR="00314FFD">
        <w:rPr>
          <w:szCs w:val="22"/>
          <w:vertAlign w:val="superscript"/>
        </w:rPr>
        <w:t>®</w:t>
      </w:r>
      <w:r w:rsidRPr="00AE0886">
        <w:rPr>
          <w:szCs w:val="22"/>
        </w:rPr>
        <w:t xml:space="preserve"> Paste) weiterbehandelt werden.</w:t>
      </w:r>
    </w:p>
    <w:p w14:paraId="7456C316" w14:textId="77777777" w:rsidR="00FF6B3B" w:rsidRPr="00AE0886" w:rsidRDefault="00FF6B3B" w:rsidP="00271A3D">
      <w:pPr>
        <w:jc w:val="both"/>
        <w:rPr>
          <w:szCs w:val="22"/>
        </w:rPr>
      </w:pPr>
    </w:p>
    <w:p w14:paraId="3F870706" w14:textId="77777777" w:rsidR="00D67C27" w:rsidRPr="00B67A82" w:rsidRDefault="00D67C27" w:rsidP="00271A3D">
      <w:pPr>
        <w:jc w:val="both"/>
      </w:pPr>
      <w:r w:rsidRPr="005F4D85">
        <w:t xml:space="preserve">Es liegen keine Daten über die Sicherheit und Wirksamkeit von </w:t>
      </w:r>
      <w:proofErr w:type="spellStart"/>
      <w:r w:rsidRPr="005F4D85">
        <w:t>Imazol</w:t>
      </w:r>
      <w:proofErr w:type="spellEnd"/>
      <w:r w:rsidR="00314FFD">
        <w:rPr>
          <w:vertAlign w:val="superscript"/>
        </w:rPr>
        <w:t>®</w:t>
      </w:r>
      <w:r w:rsidRPr="005F4D85">
        <w:t xml:space="preserve"> </w:t>
      </w:r>
      <w:proofErr w:type="spellStart"/>
      <w:r w:rsidRPr="005F4D85">
        <w:t>comp.</w:t>
      </w:r>
      <w:proofErr w:type="spellEnd"/>
      <w:r w:rsidRPr="005F4D85">
        <w:t xml:space="preserve"> </w:t>
      </w:r>
      <w:r w:rsidRPr="00767582">
        <w:t>Creme be</w:t>
      </w:r>
      <w:r w:rsidRPr="00B67A82">
        <w:t>i Kindern unter 1 Monat vor.</w:t>
      </w:r>
    </w:p>
    <w:p w14:paraId="3A25378A" w14:textId="77777777" w:rsidR="00D67C27" w:rsidRDefault="00D67C27" w:rsidP="00271A3D">
      <w:pPr>
        <w:jc w:val="both"/>
      </w:pPr>
      <w:r w:rsidRPr="00B67A82">
        <w:t xml:space="preserve">Es liegen begrenzte Daten über die Sicherheit und Wirksamkeit von </w:t>
      </w:r>
      <w:proofErr w:type="spellStart"/>
      <w:r w:rsidRPr="00B67A82">
        <w:t>Imazol</w:t>
      </w:r>
      <w:proofErr w:type="spellEnd"/>
      <w:r w:rsidR="00314FFD">
        <w:rPr>
          <w:vertAlign w:val="superscript"/>
        </w:rPr>
        <w:t>®</w:t>
      </w:r>
      <w:r w:rsidRPr="00B67A82">
        <w:t xml:space="preserve"> </w:t>
      </w:r>
      <w:proofErr w:type="spellStart"/>
      <w:r w:rsidRPr="0002176E">
        <w:t>comp.</w:t>
      </w:r>
      <w:proofErr w:type="spellEnd"/>
      <w:r w:rsidRPr="0002176E">
        <w:t xml:space="preserve"> Creme bei Patienten über 65 Jahre</w:t>
      </w:r>
      <w:r w:rsidR="00A125F9" w:rsidRPr="0002176E">
        <w:t>n</w:t>
      </w:r>
      <w:r w:rsidRPr="005F4D85">
        <w:t xml:space="preserve"> vor.</w:t>
      </w:r>
    </w:p>
    <w:p w14:paraId="40D0721D" w14:textId="77777777" w:rsidR="00C108DE" w:rsidRDefault="00C108DE" w:rsidP="00D67C27"/>
    <w:p w14:paraId="17B6993B" w14:textId="77777777" w:rsidR="00482315" w:rsidRDefault="00482315">
      <w:pPr>
        <w:ind w:left="567" w:hanging="567"/>
      </w:pPr>
      <w:r>
        <w:rPr>
          <w:b/>
        </w:rPr>
        <w:t>4.3</w:t>
      </w:r>
      <w:r>
        <w:rPr>
          <w:b/>
        </w:rPr>
        <w:tab/>
        <w:t>Gegenanzeigen</w:t>
      </w:r>
    </w:p>
    <w:p w14:paraId="532125FA" w14:textId="77777777" w:rsidR="00482315" w:rsidRDefault="00482315"/>
    <w:p w14:paraId="39BAD4D7" w14:textId="77777777" w:rsidR="00AE0886" w:rsidRDefault="00AE0886" w:rsidP="00271A3D">
      <w:pPr>
        <w:jc w:val="both"/>
      </w:pPr>
      <w:r>
        <w:lastRenderedPageBreak/>
        <w:t xml:space="preserve">Spezifische </w:t>
      </w:r>
      <w:r w:rsidR="00221D2A">
        <w:t>Hauterkrankungen (Syphilis, Tu</w:t>
      </w:r>
      <w:r>
        <w:t>berkulose), W</w:t>
      </w:r>
      <w:r w:rsidR="00221D2A">
        <w:t>indpocken, sonstige Virusinfek</w:t>
      </w:r>
      <w:r>
        <w:t>tionen (z.B. durch Herpes simplex</w:t>
      </w:r>
      <w:r w:rsidR="007E1EC1">
        <w:t>-</w:t>
      </w:r>
      <w:r>
        <w:t xml:space="preserve">Viren), </w:t>
      </w:r>
      <w:r w:rsidR="00314FFD">
        <w:t>p</w:t>
      </w:r>
      <w:r w:rsidR="00493EDD">
        <w:t xml:space="preserve">arasitäre Infektionen, </w:t>
      </w:r>
      <w:proofErr w:type="gramStart"/>
      <w:r>
        <w:t>Impfreaktionen</w:t>
      </w:r>
      <w:r w:rsidR="007F3BDC">
        <w:t>,</w:t>
      </w:r>
      <w:r>
        <w:t xml:space="preserve">  </w:t>
      </w:r>
      <w:proofErr w:type="spellStart"/>
      <w:r>
        <w:t>rosa</w:t>
      </w:r>
      <w:r w:rsidR="00237172">
        <w:t>z</w:t>
      </w:r>
      <w:r>
        <w:t>eaarti</w:t>
      </w:r>
      <w:r w:rsidR="00237172">
        <w:t>ge</w:t>
      </w:r>
      <w:proofErr w:type="spellEnd"/>
      <w:proofErr w:type="gramEnd"/>
      <w:r w:rsidR="00237172">
        <w:t xml:space="preserve"> (periorale) Dermatitis, Rosaz</w:t>
      </w:r>
      <w:r>
        <w:t>ea.</w:t>
      </w:r>
    </w:p>
    <w:p w14:paraId="4F8420F5" w14:textId="77777777" w:rsidR="00E95B63" w:rsidRDefault="00E95B63" w:rsidP="00271A3D">
      <w:pPr>
        <w:jc w:val="both"/>
      </w:pPr>
    </w:p>
    <w:p w14:paraId="1AF14394" w14:textId="77777777" w:rsidR="00AE0886" w:rsidRDefault="00493EDD" w:rsidP="00271A3D">
      <w:pPr>
        <w:jc w:val="both"/>
      </w:pPr>
      <w:proofErr w:type="spellStart"/>
      <w:r w:rsidRPr="00493EDD">
        <w:t>Imazol</w:t>
      </w:r>
      <w:proofErr w:type="spellEnd"/>
      <w:r w:rsidR="00314FFD">
        <w:rPr>
          <w:vertAlign w:val="superscript"/>
        </w:rPr>
        <w:t>®</w:t>
      </w:r>
      <w:r w:rsidRPr="00493EDD">
        <w:t xml:space="preserve"> </w:t>
      </w:r>
      <w:proofErr w:type="spellStart"/>
      <w:r w:rsidRPr="00493EDD">
        <w:t>comp.</w:t>
      </w:r>
      <w:proofErr w:type="spellEnd"/>
      <w:r w:rsidRPr="00493EDD">
        <w:t xml:space="preserve"> Creme darf nicht auf offenen Wunden </w:t>
      </w:r>
      <w:r w:rsidR="007F3BDC" w:rsidRPr="005B0457">
        <w:t>und nicht im Gesicht</w:t>
      </w:r>
      <w:r w:rsidR="007F3BDC">
        <w:t xml:space="preserve"> </w:t>
      </w:r>
      <w:r w:rsidRPr="00493EDD">
        <w:t>angewendet werden.</w:t>
      </w:r>
    </w:p>
    <w:p w14:paraId="34BA3FCF" w14:textId="77777777" w:rsidR="00E95B63" w:rsidRDefault="00E95B63" w:rsidP="00271A3D">
      <w:pPr>
        <w:jc w:val="both"/>
      </w:pPr>
    </w:p>
    <w:p w14:paraId="682EC722" w14:textId="77777777" w:rsidR="00AE0886" w:rsidRDefault="00AE0886" w:rsidP="00271A3D">
      <w:pPr>
        <w:jc w:val="both"/>
      </w:pPr>
      <w:r w:rsidRPr="00743C42">
        <w:t xml:space="preserve">Überempfindlichkeit gegen Clotrimazol, </w:t>
      </w:r>
      <w:proofErr w:type="spellStart"/>
      <w:r w:rsidRPr="00743C42">
        <w:t>Hexamidindiisetionat</w:t>
      </w:r>
      <w:proofErr w:type="spellEnd"/>
      <w:r w:rsidRPr="00743C42">
        <w:t xml:space="preserve"> und damit verwandte </w:t>
      </w:r>
      <w:proofErr w:type="spellStart"/>
      <w:r w:rsidRPr="00743C42">
        <w:t>Amidine</w:t>
      </w:r>
      <w:proofErr w:type="spellEnd"/>
      <w:r w:rsidRPr="0068592A">
        <w:t xml:space="preserve">, </w:t>
      </w:r>
      <w:proofErr w:type="spellStart"/>
      <w:r w:rsidRPr="0068592A">
        <w:t>P</w:t>
      </w:r>
      <w:r w:rsidR="00544F18" w:rsidRPr="000457BB">
        <w:t>rednisolonacetat</w:t>
      </w:r>
      <w:proofErr w:type="spellEnd"/>
      <w:r w:rsidR="00544F18" w:rsidRPr="000457BB">
        <w:t xml:space="preserve">, </w:t>
      </w:r>
      <w:proofErr w:type="spellStart"/>
      <w:r w:rsidR="00544F18" w:rsidRPr="000457BB">
        <w:t>Butylhydroxya</w:t>
      </w:r>
      <w:r w:rsidRPr="00A125F9">
        <w:t>nisol</w:t>
      </w:r>
      <w:proofErr w:type="spellEnd"/>
      <w:r w:rsidRPr="00A125F9">
        <w:t xml:space="preserve"> oder einen der </w:t>
      </w:r>
      <w:r w:rsidR="003776D5" w:rsidRPr="0002176E">
        <w:t>in Abschnitt 6.1 genannten sonstigen</w:t>
      </w:r>
      <w:r w:rsidRPr="00743C42">
        <w:t xml:space="preserve"> Bestandteile von </w:t>
      </w:r>
      <w:proofErr w:type="spellStart"/>
      <w:r w:rsidRPr="00743C42">
        <w:t>Imazol</w:t>
      </w:r>
      <w:proofErr w:type="spellEnd"/>
      <w:r w:rsidR="00314FFD">
        <w:rPr>
          <w:vertAlign w:val="superscript"/>
        </w:rPr>
        <w:t>®</w:t>
      </w:r>
      <w:r w:rsidRPr="00743C42">
        <w:t xml:space="preserve"> </w:t>
      </w:r>
      <w:proofErr w:type="spellStart"/>
      <w:r w:rsidRPr="00743C42">
        <w:t>comp.</w:t>
      </w:r>
      <w:proofErr w:type="spellEnd"/>
      <w:r w:rsidRPr="00743C42">
        <w:t xml:space="preserve"> Creme.</w:t>
      </w:r>
      <w:r>
        <w:t xml:space="preserve"> </w:t>
      </w:r>
    </w:p>
    <w:p w14:paraId="659A4282" w14:textId="77777777" w:rsidR="001270FE" w:rsidRDefault="001270FE" w:rsidP="00271A3D">
      <w:pPr>
        <w:jc w:val="both"/>
      </w:pPr>
    </w:p>
    <w:p w14:paraId="69F6694A" w14:textId="77777777" w:rsidR="001270FE" w:rsidRDefault="001270FE" w:rsidP="00271A3D">
      <w:pPr>
        <w:jc w:val="both"/>
      </w:pPr>
    </w:p>
    <w:p w14:paraId="2D322396" w14:textId="77777777" w:rsidR="00BA198F" w:rsidRDefault="00BA198F" w:rsidP="00271A3D">
      <w:pPr>
        <w:jc w:val="both"/>
      </w:pPr>
    </w:p>
    <w:p w14:paraId="778BF3F3" w14:textId="77777777" w:rsidR="00482315" w:rsidRDefault="00482315" w:rsidP="00271A3D">
      <w:pPr>
        <w:ind w:left="567" w:hanging="567"/>
        <w:jc w:val="both"/>
        <w:rPr>
          <w:b/>
        </w:rPr>
      </w:pPr>
      <w:r>
        <w:rPr>
          <w:b/>
        </w:rPr>
        <w:t>4.4</w:t>
      </w:r>
      <w:r>
        <w:rPr>
          <w:b/>
        </w:rPr>
        <w:tab/>
      </w:r>
      <w:r>
        <w:rPr>
          <w:b/>
          <w:noProof/>
        </w:rPr>
        <w:t xml:space="preserve">Besondere </w:t>
      </w:r>
      <w:r>
        <w:rPr>
          <w:b/>
        </w:rPr>
        <w:t>Warnhinweise und Vorsichtsmaßnahmen für die Anwendung</w:t>
      </w:r>
    </w:p>
    <w:p w14:paraId="4F1AB5E6" w14:textId="77777777" w:rsidR="00482315" w:rsidRDefault="00482315" w:rsidP="00271A3D">
      <w:pPr>
        <w:ind w:left="567" w:hanging="567"/>
        <w:jc w:val="both"/>
      </w:pPr>
    </w:p>
    <w:p w14:paraId="4EC125E0" w14:textId="77777777" w:rsidR="005F183B" w:rsidRDefault="005F183B" w:rsidP="00271A3D">
      <w:pPr>
        <w:pStyle w:val="knZulassung02"/>
        <w:tabs>
          <w:tab w:val="left" w:pos="284"/>
        </w:tabs>
        <w:ind w:left="0"/>
        <w:jc w:val="both"/>
      </w:pPr>
      <w:proofErr w:type="spellStart"/>
      <w:r>
        <w:t>Imazol</w:t>
      </w:r>
      <w:proofErr w:type="spellEnd"/>
      <w:r w:rsidR="00314FFD">
        <w:rPr>
          <w:vertAlign w:val="superscript"/>
        </w:rPr>
        <w:t>®</w:t>
      </w:r>
      <w:r>
        <w:t xml:space="preserve"> </w:t>
      </w:r>
      <w:proofErr w:type="spellStart"/>
      <w:r w:rsidR="00F84779">
        <w:t>comp.</w:t>
      </w:r>
      <w:proofErr w:type="spellEnd"/>
      <w:r w:rsidR="00F84779">
        <w:t xml:space="preserve"> </w:t>
      </w:r>
      <w:r>
        <w:t>Creme sollte nicht im Bereich der Augen angewendet werden.</w:t>
      </w:r>
    </w:p>
    <w:p w14:paraId="62D6DCBD" w14:textId="77777777" w:rsidR="009F61FD" w:rsidRDefault="009F61FD" w:rsidP="00271A3D">
      <w:pPr>
        <w:pStyle w:val="knZulassung02"/>
        <w:tabs>
          <w:tab w:val="left" w:pos="284"/>
        </w:tabs>
        <w:ind w:left="0"/>
        <w:jc w:val="both"/>
      </w:pPr>
    </w:p>
    <w:p w14:paraId="67DF1ABF" w14:textId="77777777" w:rsidR="005F183B" w:rsidRDefault="008937C2" w:rsidP="00271A3D">
      <w:pPr>
        <w:ind w:left="567" w:hanging="567"/>
        <w:jc w:val="both"/>
      </w:pPr>
      <w:proofErr w:type="spellStart"/>
      <w:r>
        <w:t>Imazol</w:t>
      </w:r>
      <w:proofErr w:type="spellEnd"/>
      <w:r w:rsidR="00314FFD">
        <w:rPr>
          <w:vertAlign w:val="superscript"/>
        </w:rPr>
        <w:t>®</w:t>
      </w:r>
      <w:r>
        <w:t xml:space="preserve"> </w:t>
      </w:r>
      <w:proofErr w:type="spellStart"/>
      <w:r>
        <w:t>comp.</w:t>
      </w:r>
      <w:proofErr w:type="spellEnd"/>
      <w:r>
        <w:t xml:space="preserve"> Creme </w:t>
      </w:r>
      <w:r w:rsidR="009F61FD">
        <w:t>sollte</w:t>
      </w:r>
      <w:r w:rsidR="009F61FD" w:rsidRPr="009F61FD">
        <w:t xml:space="preserve"> nicht auf die Glans </w:t>
      </w:r>
      <w:proofErr w:type="spellStart"/>
      <w:r w:rsidR="009F61FD" w:rsidRPr="009F61FD">
        <w:t>penis</w:t>
      </w:r>
      <w:proofErr w:type="spellEnd"/>
      <w:r w:rsidR="009F61FD" w:rsidRPr="009F61FD">
        <w:t xml:space="preserve"> aufgetragen werden.</w:t>
      </w:r>
    </w:p>
    <w:p w14:paraId="7511F44A" w14:textId="77777777" w:rsidR="009F61FD" w:rsidRDefault="009F61FD" w:rsidP="00271A3D">
      <w:pPr>
        <w:ind w:left="567" w:hanging="567"/>
        <w:jc w:val="both"/>
      </w:pPr>
    </w:p>
    <w:p w14:paraId="4CD5B218" w14:textId="77777777" w:rsidR="00AE0886" w:rsidRPr="00AE0886" w:rsidRDefault="00AE0886" w:rsidP="00271A3D">
      <w:pPr>
        <w:jc w:val="both"/>
        <w:rPr>
          <w:noProof/>
        </w:rPr>
      </w:pPr>
      <w:r w:rsidRPr="00AE0886">
        <w:rPr>
          <w:noProof/>
        </w:rPr>
        <w:t>Imazol</w:t>
      </w:r>
      <w:r w:rsidR="00314FFD">
        <w:rPr>
          <w:noProof/>
          <w:vertAlign w:val="superscript"/>
        </w:rPr>
        <w:t>®</w:t>
      </w:r>
      <w:r w:rsidRPr="00AE0886">
        <w:rPr>
          <w:noProof/>
        </w:rPr>
        <w:t xml:space="preserve"> comp. Creme sollte nicht unter Okklusivbedingungen (Pflaster etc.) angewendet werden. </w:t>
      </w:r>
    </w:p>
    <w:p w14:paraId="3D1E1C42" w14:textId="77777777" w:rsidR="00AE0886" w:rsidRPr="00AE0886" w:rsidRDefault="00AE0886" w:rsidP="00271A3D">
      <w:pPr>
        <w:jc w:val="both"/>
        <w:rPr>
          <w:noProof/>
        </w:rPr>
      </w:pPr>
    </w:p>
    <w:p w14:paraId="472EEC23" w14:textId="77777777" w:rsidR="00AE0886" w:rsidRPr="00AE0886" w:rsidRDefault="00AE0886" w:rsidP="00271A3D">
      <w:pPr>
        <w:jc w:val="both"/>
        <w:rPr>
          <w:noProof/>
        </w:rPr>
      </w:pPr>
      <w:r w:rsidRPr="00AE0886">
        <w:rPr>
          <w:noProof/>
        </w:rPr>
        <w:t xml:space="preserve">Wegen seines </w:t>
      </w:r>
      <w:r w:rsidR="005F4D85">
        <w:rPr>
          <w:noProof/>
        </w:rPr>
        <w:t>Gluko</w:t>
      </w:r>
      <w:r w:rsidR="003410FA">
        <w:rPr>
          <w:noProof/>
        </w:rPr>
        <w:t>k</w:t>
      </w:r>
      <w:r w:rsidRPr="00AE0886">
        <w:rPr>
          <w:noProof/>
        </w:rPr>
        <w:t>orti</w:t>
      </w:r>
      <w:r w:rsidR="003410FA">
        <w:rPr>
          <w:noProof/>
        </w:rPr>
        <w:t>k</w:t>
      </w:r>
      <w:r w:rsidRPr="00AE0886">
        <w:rPr>
          <w:noProof/>
        </w:rPr>
        <w:t>oidgehaltes sollte Imazol</w:t>
      </w:r>
      <w:r w:rsidR="00314FFD">
        <w:rPr>
          <w:noProof/>
          <w:vertAlign w:val="superscript"/>
        </w:rPr>
        <w:t>®</w:t>
      </w:r>
      <w:r w:rsidRPr="00AE0886">
        <w:rPr>
          <w:noProof/>
        </w:rPr>
        <w:t xml:space="preserve"> comp. Creme nicht auf großen Flächen (mehr als 10% der Körperoberfläche) und nicht über längere Zeit (länger als 1 Woche) angewendet werden.</w:t>
      </w:r>
    </w:p>
    <w:p w14:paraId="6E25E496" w14:textId="77777777" w:rsidR="00AE0886" w:rsidRDefault="00AE0886" w:rsidP="00271A3D">
      <w:pPr>
        <w:jc w:val="both"/>
        <w:rPr>
          <w:noProof/>
        </w:rPr>
      </w:pPr>
    </w:p>
    <w:p w14:paraId="3EBF4195" w14:textId="77777777" w:rsidR="009113F6" w:rsidRDefault="008937C2" w:rsidP="00271A3D">
      <w:pPr>
        <w:jc w:val="both"/>
        <w:rPr>
          <w:noProof/>
        </w:rPr>
      </w:pPr>
      <w:r>
        <w:rPr>
          <w:noProof/>
        </w:rPr>
        <w:t>Imazol</w:t>
      </w:r>
      <w:r w:rsidR="00314FFD">
        <w:rPr>
          <w:noProof/>
          <w:vertAlign w:val="superscript"/>
        </w:rPr>
        <w:t>®</w:t>
      </w:r>
      <w:r>
        <w:rPr>
          <w:noProof/>
        </w:rPr>
        <w:t xml:space="preserve"> comp. Creme</w:t>
      </w:r>
      <w:r w:rsidR="009113F6">
        <w:rPr>
          <w:noProof/>
        </w:rPr>
        <w:t xml:space="preserve"> sollte nicht auf Schleimhäute aufgetragen werden. </w:t>
      </w:r>
    </w:p>
    <w:p w14:paraId="4A43CAF8" w14:textId="77777777" w:rsidR="009113F6" w:rsidRPr="00AE0886" w:rsidRDefault="009113F6" w:rsidP="00271A3D">
      <w:pPr>
        <w:jc w:val="both"/>
        <w:rPr>
          <w:noProof/>
        </w:rPr>
      </w:pPr>
    </w:p>
    <w:p w14:paraId="25CE5DC4" w14:textId="77777777" w:rsidR="00482315" w:rsidRDefault="00AE0886" w:rsidP="00271A3D">
      <w:pPr>
        <w:jc w:val="both"/>
        <w:rPr>
          <w:noProof/>
        </w:rPr>
      </w:pPr>
      <w:r w:rsidRPr="00AE0886">
        <w:rPr>
          <w:noProof/>
        </w:rPr>
        <w:t>Butylhydroxyanisol kann örtlich begrenzt Hautreizunge</w:t>
      </w:r>
      <w:r w:rsidR="00544F18">
        <w:rPr>
          <w:noProof/>
        </w:rPr>
        <w:t>n (z.B. Kontaktdermatitis), Rei</w:t>
      </w:r>
      <w:r w:rsidRPr="00AE0886">
        <w:rPr>
          <w:noProof/>
        </w:rPr>
        <w:t xml:space="preserve">zungen der </w:t>
      </w:r>
      <w:r w:rsidR="00544F18">
        <w:rPr>
          <w:noProof/>
        </w:rPr>
        <w:t>Augen und der Schleimhäute herv</w:t>
      </w:r>
      <w:r w:rsidRPr="00AE0886">
        <w:rPr>
          <w:noProof/>
        </w:rPr>
        <w:t>orrufen.</w:t>
      </w:r>
    </w:p>
    <w:p w14:paraId="78F00197" w14:textId="77777777" w:rsidR="00493EDD" w:rsidRDefault="00493EDD" w:rsidP="00AE0886">
      <w:pPr>
        <w:rPr>
          <w:noProof/>
        </w:rPr>
      </w:pPr>
    </w:p>
    <w:p w14:paraId="2A79F272" w14:textId="77777777" w:rsidR="00493EDD" w:rsidRDefault="00493EDD" w:rsidP="00271A3D">
      <w:pPr>
        <w:jc w:val="both"/>
      </w:pPr>
      <w:r w:rsidRPr="00581ADC">
        <w:t>Beim ersten Auftreten von Anzeichen für eine lokale oder generalisierte Überempfindlichkeit oder für eine lokale Reizung mus</w:t>
      </w:r>
      <w:r>
        <w:t xml:space="preserve">s die Behandlung mit </w:t>
      </w:r>
      <w:proofErr w:type="spellStart"/>
      <w:r>
        <w:t>Imazol</w:t>
      </w:r>
      <w:proofErr w:type="spellEnd"/>
      <w:r w:rsidR="00314FFD">
        <w:rPr>
          <w:vertAlign w:val="superscript"/>
        </w:rPr>
        <w:t>®</w:t>
      </w:r>
      <w:r>
        <w:t xml:space="preserve"> </w:t>
      </w:r>
      <w:proofErr w:type="spellStart"/>
      <w:r>
        <w:t>comp.</w:t>
      </w:r>
      <w:proofErr w:type="spellEnd"/>
      <w:r>
        <w:t xml:space="preserve"> Creme </w:t>
      </w:r>
      <w:r w:rsidRPr="00581ADC">
        <w:t>abgebrochen werden.</w:t>
      </w:r>
    </w:p>
    <w:p w14:paraId="2356CB2B" w14:textId="77777777" w:rsidR="00D67C27" w:rsidRDefault="00D67C27" w:rsidP="00271A3D">
      <w:pPr>
        <w:jc w:val="both"/>
        <w:rPr>
          <w:noProof/>
        </w:rPr>
      </w:pPr>
    </w:p>
    <w:p w14:paraId="53BCFC99" w14:textId="77777777" w:rsidR="00F75DD1" w:rsidRPr="00F75DD1" w:rsidRDefault="00F75DD1" w:rsidP="00271A3D">
      <w:pPr>
        <w:jc w:val="both"/>
        <w:rPr>
          <w:u w:val="single"/>
        </w:rPr>
      </w:pPr>
      <w:r w:rsidRPr="00F75DD1">
        <w:rPr>
          <w:u w:val="single"/>
        </w:rPr>
        <w:t>Sehstörung:</w:t>
      </w:r>
    </w:p>
    <w:p w14:paraId="14335A78" w14:textId="77777777" w:rsidR="00F75DD1" w:rsidRDefault="00F75DD1" w:rsidP="00271A3D">
      <w:pPr>
        <w:jc w:val="both"/>
      </w:pPr>
      <w:r w:rsidRPr="00F75DD1">
        <w:t xml:space="preserve">Bei der systemischen und </w:t>
      </w:r>
      <w:proofErr w:type="spellStart"/>
      <w:r w:rsidRPr="00F75DD1">
        <w:t>topischen</w:t>
      </w:r>
      <w:proofErr w:type="spellEnd"/>
      <w:r w:rsidRPr="00F75DD1">
        <w:t xml:space="preserve"> Anwendung von Corticosteroiden können Sehstörungen auftreten. Wenn ein Patient mit Symptomen wie verschwommenem Sehen oder anderen Sehstörungen vorstellig wird, sollte eine Überweisung des Patienten an einen Augenarzt zur Bewertung möglicher Ursachen in Erwägung gezogen werden; diese umfassen unter anderem Katarakt, Glaukom oder seltene Erkrankungen, wie z. B. zentrale seröse </w:t>
      </w:r>
      <w:proofErr w:type="spellStart"/>
      <w:r w:rsidRPr="00F75DD1">
        <w:t>Chorioretinopathie</w:t>
      </w:r>
      <w:proofErr w:type="spellEnd"/>
      <w:r w:rsidRPr="00F75DD1">
        <w:t xml:space="preserve"> (CSC), die nach der Anwendung systemischer oder </w:t>
      </w:r>
      <w:proofErr w:type="spellStart"/>
      <w:r w:rsidRPr="00F75DD1">
        <w:t>topischer</w:t>
      </w:r>
      <w:proofErr w:type="spellEnd"/>
      <w:r w:rsidRPr="00F75DD1">
        <w:t xml:space="preserve"> Corticosteroide gemeldet wurden.</w:t>
      </w:r>
    </w:p>
    <w:p w14:paraId="11225BC1" w14:textId="77777777" w:rsidR="00F75DD1" w:rsidRDefault="00F75DD1" w:rsidP="00271A3D">
      <w:pPr>
        <w:jc w:val="both"/>
        <w:rPr>
          <w:noProof/>
        </w:rPr>
      </w:pPr>
    </w:p>
    <w:p w14:paraId="6E26AA64" w14:textId="77777777" w:rsidR="00D67C27" w:rsidRPr="0002176E" w:rsidRDefault="00D67C27" w:rsidP="00271A3D">
      <w:pPr>
        <w:jc w:val="both"/>
        <w:rPr>
          <w:i/>
          <w:noProof/>
          <w:u w:val="single"/>
        </w:rPr>
      </w:pPr>
      <w:r w:rsidRPr="0002176E">
        <w:rPr>
          <w:i/>
          <w:noProof/>
          <w:u w:val="single"/>
        </w:rPr>
        <w:t>Kinder</w:t>
      </w:r>
    </w:p>
    <w:p w14:paraId="5C63AFC5" w14:textId="77777777" w:rsidR="00D67C27" w:rsidRDefault="00D67C27" w:rsidP="00271A3D">
      <w:pPr>
        <w:jc w:val="both"/>
        <w:rPr>
          <w:noProof/>
        </w:rPr>
      </w:pPr>
      <w:r>
        <w:rPr>
          <w:noProof/>
        </w:rPr>
        <w:t>Besondere Vorsicht ist bei Kinder</w:t>
      </w:r>
      <w:r w:rsidR="00C274FF">
        <w:rPr>
          <w:noProof/>
        </w:rPr>
        <w:t>n</w:t>
      </w:r>
      <w:r>
        <w:rPr>
          <w:noProof/>
        </w:rPr>
        <w:t xml:space="preserve"> erforderlich, da sie eine größere Körperoberfläche im Verhältnis zum Körpergewicht aufweisen.</w:t>
      </w:r>
    </w:p>
    <w:p w14:paraId="775AF2B4" w14:textId="77777777" w:rsidR="00D67C27" w:rsidRPr="00FF6B3B" w:rsidRDefault="00D67C27" w:rsidP="00271A3D">
      <w:pPr>
        <w:jc w:val="both"/>
        <w:rPr>
          <w:noProof/>
        </w:rPr>
      </w:pPr>
    </w:p>
    <w:p w14:paraId="771DD0EF" w14:textId="77777777" w:rsidR="00AE0886" w:rsidRPr="0002176E" w:rsidRDefault="00D67C27" w:rsidP="00271A3D">
      <w:pPr>
        <w:jc w:val="both"/>
        <w:rPr>
          <w:i/>
          <w:u w:val="single"/>
        </w:rPr>
      </w:pPr>
      <w:r w:rsidRPr="0002176E">
        <w:rPr>
          <w:i/>
          <w:u w:val="single"/>
        </w:rPr>
        <w:t>Ältere Menschen</w:t>
      </w:r>
    </w:p>
    <w:p w14:paraId="4DE5503E" w14:textId="77777777" w:rsidR="00D67C27" w:rsidRDefault="00D67C27" w:rsidP="00271A3D">
      <w:pPr>
        <w:jc w:val="both"/>
      </w:pPr>
      <w:r>
        <w:t xml:space="preserve">Besondere Vorsicht ist bei älteren Menschen infolge abgeschwächter </w:t>
      </w:r>
      <w:proofErr w:type="spellStart"/>
      <w:r>
        <w:t>Barriereleistung</w:t>
      </w:r>
      <w:proofErr w:type="spellEnd"/>
      <w:r>
        <w:t xml:space="preserve"> der Hornschicht </w:t>
      </w:r>
      <w:r w:rsidR="00767582">
        <w:t xml:space="preserve">(Altershaut) </w:t>
      </w:r>
      <w:r>
        <w:t>erforderlich.</w:t>
      </w:r>
    </w:p>
    <w:p w14:paraId="71443842" w14:textId="77777777" w:rsidR="00581ADC" w:rsidRDefault="00581ADC" w:rsidP="00AE0886"/>
    <w:p w14:paraId="612F1EBB" w14:textId="77777777" w:rsidR="00D67C27" w:rsidRDefault="00D67C27" w:rsidP="00AE0886"/>
    <w:p w14:paraId="67BAD55B" w14:textId="77777777" w:rsidR="006D1F87" w:rsidRPr="00FF6B3B" w:rsidRDefault="006D1F87" w:rsidP="00AE0886"/>
    <w:p w14:paraId="0597F3B5" w14:textId="77777777" w:rsidR="00482315" w:rsidRDefault="00482315">
      <w:pPr>
        <w:ind w:left="567" w:hanging="567"/>
      </w:pPr>
      <w:r>
        <w:rPr>
          <w:b/>
        </w:rPr>
        <w:t>4.5</w:t>
      </w:r>
      <w:r>
        <w:rPr>
          <w:b/>
        </w:rPr>
        <w:tab/>
        <w:t>Wechselwirkungen mit anderen Arzneimitteln und sonstige Wechselwirkungen</w:t>
      </w:r>
    </w:p>
    <w:p w14:paraId="316D0C98" w14:textId="77777777" w:rsidR="00482315" w:rsidRDefault="00482315">
      <w:pPr>
        <w:ind w:left="1440" w:hanging="1440"/>
      </w:pPr>
    </w:p>
    <w:p w14:paraId="3F88F2A5" w14:textId="77777777" w:rsidR="008C5412" w:rsidRDefault="00613AC3" w:rsidP="00271A3D">
      <w:pPr>
        <w:jc w:val="both"/>
        <w:rPr>
          <w:noProof/>
        </w:rPr>
      </w:pPr>
      <w:r w:rsidRPr="00613AC3">
        <w:rPr>
          <w:noProof/>
        </w:rPr>
        <w:t>Imazol</w:t>
      </w:r>
      <w:r w:rsidR="00314FFD">
        <w:rPr>
          <w:noProof/>
          <w:vertAlign w:val="superscript"/>
        </w:rPr>
        <w:t>®</w:t>
      </w:r>
      <w:r w:rsidRPr="00613AC3">
        <w:rPr>
          <w:noProof/>
        </w:rPr>
        <w:t xml:space="preserve"> </w:t>
      </w:r>
      <w:r>
        <w:rPr>
          <w:noProof/>
        </w:rPr>
        <w:t xml:space="preserve">comp. </w:t>
      </w:r>
      <w:r w:rsidRPr="00613AC3">
        <w:rPr>
          <w:noProof/>
        </w:rPr>
        <w:t xml:space="preserve">Creme verringert die Wirksamkeit von Amphotericin und anderen Polyen-Antibiotika (Nystatin, Natamycin). </w:t>
      </w:r>
    </w:p>
    <w:p w14:paraId="03D16C1A" w14:textId="77777777" w:rsidR="008C5412" w:rsidRDefault="008C5412" w:rsidP="00271A3D">
      <w:pPr>
        <w:jc w:val="both"/>
        <w:rPr>
          <w:noProof/>
        </w:rPr>
      </w:pPr>
      <w:r w:rsidRPr="00826C62">
        <w:rPr>
          <w:noProof/>
        </w:rPr>
        <w:t>Prednisolonacetat kann die Wirksamkeit von topischen Steroidantibiotika und Chemotherapeutika (Typ quartäre Ammoniumbasen) herabsetzen.</w:t>
      </w:r>
    </w:p>
    <w:p w14:paraId="142CD1DA" w14:textId="77777777" w:rsidR="00570999" w:rsidRDefault="00570999" w:rsidP="00271A3D">
      <w:pPr>
        <w:jc w:val="both"/>
        <w:rPr>
          <w:noProof/>
        </w:rPr>
      </w:pPr>
    </w:p>
    <w:p w14:paraId="167B58B6" w14:textId="77777777" w:rsidR="00570999" w:rsidRDefault="00570999" w:rsidP="00271A3D">
      <w:pPr>
        <w:pStyle w:val="knZulassung02"/>
        <w:tabs>
          <w:tab w:val="left" w:pos="284"/>
        </w:tabs>
        <w:ind w:left="0"/>
        <w:jc w:val="both"/>
      </w:pPr>
      <w:r>
        <w:lastRenderedPageBreak/>
        <w:t xml:space="preserve">Werden auf den betroffenen Hautpartien Deodorants oder Kosmetika verwendet, kann eine Minderung der Wirksamkeit von </w:t>
      </w:r>
      <w:proofErr w:type="spellStart"/>
      <w:r>
        <w:t>Imazol</w:t>
      </w:r>
      <w:proofErr w:type="spellEnd"/>
      <w:r w:rsidR="00314FFD">
        <w:rPr>
          <w:vertAlign w:val="superscript"/>
        </w:rPr>
        <w:t>®</w:t>
      </w:r>
      <w:r>
        <w:t xml:space="preserve"> </w:t>
      </w:r>
      <w:proofErr w:type="spellStart"/>
      <w:r>
        <w:t>comp</w:t>
      </w:r>
      <w:r w:rsidR="00CE3593">
        <w:t>.</w:t>
      </w:r>
      <w:proofErr w:type="spellEnd"/>
      <w:r>
        <w:t xml:space="preserve"> Creme nicht ausgeschlossen werden.</w:t>
      </w:r>
    </w:p>
    <w:p w14:paraId="150700A8" w14:textId="77777777" w:rsidR="00AE0886" w:rsidRDefault="00AE0886">
      <w:pPr>
        <w:ind w:left="1440" w:hanging="1440"/>
      </w:pPr>
    </w:p>
    <w:p w14:paraId="48B0EBE5" w14:textId="77777777" w:rsidR="00570999" w:rsidRDefault="00570999">
      <w:pPr>
        <w:ind w:left="1440" w:hanging="1440"/>
      </w:pPr>
    </w:p>
    <w:p w14:paraId="4656993E" w14:textId="77777777" w:rsidR="00482315" w:rsidRDefault="00482315">
      <w:pPr>
        <w:ind w:left="567" w:hanging="567"/>
      </w:pPr>
      <w:r>
        <w:rPr>
          <w:b/>
        </w:rPr>
        <w:t>4.6</w:t>
      </w:r>
      <w:r>
        <w:rPr>
          <w:b/>
        </w:rPr>
        <w:tab/>
      </w:r>
      <w:r w:rsidR="00A1700A">
        <w:rPr>
          <w:b/>
        </w:rPr>
        <w:t xml:space="preserve">Fertilität, </w:t>
      </w:r>
      <w:r>
        <w:rPr>
          <w:b/>
        </w:rPr>
        <w:t>Schwangerschaft und Stillzeit</w:t>
      </w:r>
    </w:p>
    <w:p w14:paraId="0341AC54" w14:textId="77777777" w:rsidR="00482315" w:rsidRDefault="00482315"/>
    <w:p w14:paraId="097CCCF7" w14:textId="77777777" w:rsidR="00713041" w:rsidRPr="0002176E" w:rsidRDefault="00713041">
      <w:pPr>
        <w:rPr>
          <w:u w:val="single"/>
        </w:rPr>
      </w:pPr>
      <w:r w:rsidRPr="0002176E">
        <w:rPr>
          <w:u w:val="single"/>
        </w:rPr>
        <w:t>Schwangerschaft</w:t>
      </w:r>
    </w:p>
    <w:p w14:paraId="13CFC6EC" w14:textId="77777777" w:rsidR="00713041" w:rsidRDefault="00713041" w:rsidP="00271A3D">
      <w:pPr>
        <w:jc w:val="both"/>
        <w:rPr>
          <w:noProof/>
        </w:rPr>
      </w:pPr>
      <w:r>
        <w:rPr>
          <w:noProof/>
        </w:rPr>
        <w:t>Es liegen unzureichende klinische Daten zur Anwendung von Imazol comp. Creme während der Schwangerschaft vor. Die vorliegenden tierexperimente</w:t>
      </w:r>
      <w:r w:rsidR="00475EE0">
        <w:rPr>
          <w:noProof/>
        </w:rPr>
        <w:t>l</w:t>
      </w:r>
      <w:r>
        <w:rPr>
          <w:noProof/>
        </w:rPr>
        <w:t>len Studien deuten auf kein toxikologisch relevantes Risiko bei therapeutischer Anwendung hin.</w:t>
      </w:r>
    </w:p>
    <w:p w14:paraId="250F1621" w14:textId="77777777" w:rsidR="00713041" w:rsidRDefault="00713041" w:rsidP="00271A3D">
      <w:pPr>
        <w:jc w:val="both"/>
        <w:rPr>
          <w:noProof/>
        </w:rPr>
      </w:pPr>
      <w:r>
        <w:rPr>
          <w:noProof/>
        </w:rPr>
        <w:t>Imazol</w:t>
      </w:r>
      <w:r w:rsidR="00314FFD">
        <w:rPr>
          <w:noProof/>
          <w:vertAlign w:val="superscript"/>
        </w:rPr>
        <w:t>®</w:t>
      </w:r>
      <w:r>
        <w:rPr>
          <w:noProof/>
        </w:rPr>
        <w:t xml:space="preserve"> comp. Creme kann während der Schwangerschaft nach Nutzen/Risikoabwägung und unter Beachtung der allgemeinen Anwendungshinweise angewendet werden.</w:t>
      </w:r>
    </w:p>
    <w:p w14:paraId="4ED0C8BE" w14:textId="77777777" w:rsidR="00F06148" w:rsidRDefault="00F06148" w:rsidP="00271A3D">
      <w:pPr>
        <w:jc w:val="both"/>
        <w:rPr>
          <w:noProof/>
        </w:rPr>
      </w:pPr>
    </w:p>
    <w:p w14:paraId="3AB1ED90" w14:textId="77777777" w:rsidR="00F06148" w:rsidRPr="0002176E" w:rsidRDefault="00F06148" w:rsidP="00271A3D">
      <w:pPr>
        <w:jc w:val="both"/>
        <w:rPr>
          <w:noProof/>
          <w:u w:val="single"/>
        </w:rPr>
      </w:pPr>
      <w:r w:rsidRPr="0002176E">
        <w:rPr>
          <w:noProof/>
          <w:u w:val="single"/>
        </w:rPr>
        <w:t>Stillzeit</w:t>
      </w:r>
    </w:p>
    <w:p w14:paraId="56F388E0" w14:textId="77777777" w:rsidR="00713041" w:rsidRDefault="00F06148" w:rsidP="00271A3D">
      <w:pPr>
        <w:jc w:val="both"/>
        <w:rPr>
          <w:noProof/>
        </w:rPr>
      </w:pPr>
      <w:r>
        <w:rPr>
          <w:noProof/>
        </w:rPr>
        <w:t>Es liegen unzureichende klinische Daten zur Anwendung von Imazol</w:t>
      </w:r>
      <w:r w:rsidR="00314FFD">
        <w:rPr>
          <w:noProof/>
          <w:vertAlign w:val="superscript"/>
        </w:rPr>
        <w:t>®</w:t>
      </w:r>
      <w:r>
        <w:rPr>
          <w:noProof/>
        </w:rPr>
        <w:t xml:space="preserve"> comp. Creme während der Stillzeit vor. Es ist nicht bekannt, ob die Wirkstoffe von Imazol</w:t>
      </w:r>
      <w:r w:rsidR="00314FFD">
        <w:rPr>
          <w:noProof/>
          <w:vertAlign w:val="superscript"/>
        </w:rPr>
        <w:t>®</w:t>
      </w:r>
      <w:r>
        <w:rPr>
          <w:noProof/>
        </w:rPr>
        <w:t xml:space="preserve"> comp. Creme in die Muttermilch übergehen. Aufgrund der anzunehmenden eher geringen systemischen Exposition bei lokaler Anwendung ist mit dem Stillen für den Säugling vermutlich kein Risiko verbunden. Imazol</w:t>
      </w:r>
      <w:r w:rsidR="00314FFD">
        <w:rPr>
          <w:noProof/>
          <w:vertAlign w:val="superscript"/>
        </w:rPr>
        <w:t>®</w:t>
      </w:r>
      <w:r>
        <w:rPr>
          <w:noProof/>
        </w:rPr>
        <w:t xml:space="preserve"> comp. Creme kann in der Stillzeit nach Nutzen/Risikoabwägung angewendet werden. Allerdings sollte Imazol</w:t>
      </w:r>
      <w:r w:rsidR="00314FFD">
        <w:rPr>
          <w:noProof/>
          <w:vertAlign w:val="superscript"/>
        </w:rPr>
        <w:t>®</w:t>
      </w:r>
      <w:r>
        <w:rPr>
          <w:noProof/>
        </w:rPr>
        <w:t xml:space="preserve"> comp. Creme von Stillenden nicht im Bereich der Brust angewendet werden.</w:t>
      </w:r>
    </w:p>
    <w:p w14:paraId="57D6D1DD" w14:textId="77777777" w:rsidR="00F06148" w:rsidRDefault="00F06148" w:rsidP="00271A3D">
      <w:pPr>
        <w:jc w:val="both"/>
        <w:rPr>
          <w:noProof/>
        </w:rPr>
      </w:pPr>
    </w:p>
    <w:p w14:paraId="673DF8FA" w14:textId="77777777" w:rsidR="00F06148" w:rsidRPr="0002176E" w:rsidRDefault="00F06148" w:rsidP="00271A3D">
      <w:pPr>
        <w:jc w:val="both"/>
        <w:rPr>
          <w:noProof/>
          <w:u w:val="single"/>
        </w:rPr>
      </w:pPr>
      <w:r w:rsidRPr="0002176E">
        <w:rPr>
          <w:noProof/>
          <w:u w:val="single"/>
        </w:rPr>
        <w:t>Fertilität</w:t>
      </w:r>
    </w:p>
    <w:p w14:paraId="4F858C06" w14:textId="77777777" w:rsidR="00EA1243" w:rsidRDefault="00F06148" w:rsidP="00271A3D">
      <w:pPr>
        <w:jc w:val="both"/>
        <w:rPr>
          <w:noProof/>
        </w:rPr>
      </w:pPr>
      <w:r>
        <w:rPr>
          <w:noProof/>
        </w:rPr>
        <w:t>Es liegen keine Daten zum Einfluss von Imazol</w:t>
      </w:r>
      <w:r w:rsidR="00314FFD">
        <w:rPr>
          <w:noProof/>
          <w:vertAlign w:val="superscript"/>
        </w:rPr>
        <w:t>®</w:t>
      </w:r>
      <w:r>
        <w:rPr>
          <w:noProof/>
        </w:rPr>
        <w:t xml:space="preserve"> comp. Creme auf die Fertilität vor.</w:t>
      </w:r>
    </w:p>
    <w:p w14:paraId="5159B006" w14:textId="77777777" w:rsidR="00482315" w:rsidRDefault="00482315" w:rsidP="00FF6B3B">
      <w:pPr>
        <w:rPr>
          <w:noProof/>
        </w:rPr>
      </w:pPr>
    </w:p>
    <w:p w14:paraId="78C2BAF5" w14:textId="77777777" w:rsidR="00AE0886" w:rsidRDefault="00AE0886" w:rsidP="00AE0886"/>
    <w:p w14:paraId="618B2E9B" w14:textId="77777777" w:rsidR="00482315" w:rsidRDefault="00482315">
      <w:pPr>
        <w:ind w:left="567" w:hanging="567"/>
      </w:pPr>
      <w:r>
        <w:rPr>
          <w:b/>
        </w:rPr>
        <w:t>4.7</w:t>
      </w:r>
      <w:r>
        <w:rPr>
          <w:b/>
        </w:rPr>
        <w:tab/>
        <w:t xml:space="preserve">Auswirkungen auf die Verkehrstüchtigkeit und </w:t>
      </w:r>
      <w:r>
        <w:rPr>
          <w:b/>
          <w:noProof/>
        </w:rPr>
        <w:t xml:space="preserve">die Fähigkeit zum </w:t>
      </w:r>
      <w:r>
        <w:rPr>
          <w:b/>
        </w:rPr>
        <w:t>Bedienen von Maschinen</w:t>
      </w:r>
    </w:p>
    <w:p w14:paraId="3387D5D6" w14:textId="77777777" w:rsidR="00482315" w:rsidRDefault="00482315">
      <w:pPr>
        <w:ind w:left="567" w:hanging="567"/>
      </w:pPr>
    </w:p>
    <w:p w14:paraId="7D23514C" w14:textId="77777777" w:rsidR="00AE0886" w:rsidRDefault="003C5095" w:rsidP="00AE0886">
      <w:pPr>
        <w:ind w:left="1440" w:hanging="1440"/>
        <w:rPr>
          <w:noProof/>
        </w:rPr>
      </w:pPr>
      <w:r>
        <w:rPr>
          <w:noProof/>
        </w:rPr>
        <w:t>Nicht zutreffend</w:t>
      </w:r>
      <w:r w:rsidR="00314FFD">
        <w:rPr>
          <w:noProof/>
        </w:rPr>
        <w:t>.</w:t>
      </w:r>
    </w:p>
    <w:p w14:paraId="4EF2D9A7" w14:textId="77777777" w:rsidR="00482315" w:rsidRPr="00CD15B9" w:rsidRDefault="00482315"/>
    <w:p w14:paraId="5594BE0C" w14:textId="77777777" w:rsidR="00482315" w:rsidRPr="00CD15B9" w:rsidRDefault="00482315">
      <w:pPr>
        <w:ind w:left="567" w:hanging="567"/>
      </w:pPr>
      <w:r w:rsidRPr="00CD15B9">
        <w:rPr>
          <w:b/>
        </w:rPr>
        <w:t>4.8</w:t>
      </w:r>
      <w:r w:rsidRPr="00CD15B9">
        <w:rPr>
          <w:b/>
        </w:rPr>
        <w:tab/>
        <w:t>Nebenwirkungen</w:t>
      </w:r>
    </w:p>
    <w:p w14:paraId="464BBF28" w14:textId="77777777" w:rsidR="00AE0886" w:rsidRPr="00AE0886" w:rsidRDefault="00AE0886" w:rsidP="00AE0886">
      <w:r w:rsidRPr="00AE0886">
        <w:t>Bei der Bewertung von Nebenwirkungen werden folgende Häufigkeiten zugrunde gelegt:</w:t>
      </w:r>
    </w:p>
    <w:p w14:paraId="62F1317A" w14:textId="77777777" w:rsidR="00AE0886" w:rsidRPr="00AE0886" w:rsidRDefault="00AE0886" w:rsidP="00AE0886"/>
    <w:p w14:paraId="5A040E41" w14:textId="77777777" w:rsidR="00AE0886" w:rsidRPr="00AE0886" w:rsidRDefault="00AE0886" w:rsidP="00AE0886">
      <w:r w:rsidRPr="00AE0886">
        <w:t>Sehr häufig (≥</w:t>
      </w:r>
      <w:r w:rsidR="0068592A" w:rsidRPr="00AE0886">
        <w:t>1</w:t>
      </w:r>
      <w:r w:rsidR="0068592A">
        <w:t>/10</w:t>
      </w:r>
      <w:r w:rsidRPr="00AE0886">
        <w:t>)</w:t>
      </w:r>
    </w:p>
    <w:p w14:paraId="68A3B3E5" w14:textId="77777777" w:rsidR="00AE0886" w:rsidRPr="00AE0886" w:rsidRDefault="00AE0886" w:rsidP="00AE0886">
      <w:r w:rsidRPr="00AE0886">
        <w:t>Häufig (≥1</w:t>
      </w:r>
      <w:r w:rsidR="0068592A">
        <w:t>/100,</w:t>
      </w:r>
      <w:r w:rsidRPr="00AE0886">
        <w:t xml:space="preserve"> &lt;1</w:t>
      </w:r>
      <w:r w:rsidR="0068592A">
        <w:t>/10</w:t>
      </w:r>
      <w:r w:rsidRPr="00AE0886">
        <w:t>)</w:t>
      </w:r>
    </w:p>
    <w:p w14:paraId="6B3941B0" w14:textId="77777777" w:rsidR="00AE0886" w:rsidRPr="00AE0886" w:rsidRDefault="00AE0886" w:rsidP="00AE0886">
      <w:r w:rsidRPr="00AE0886">
        <w:t>Gelegentlich (≥</w:t>
      </w:r>
      <w:r w:rsidR="0068592A">
        <w:t>1/1.000,</w:t>
      </w:r>
      <w:r w:rsidRPr="00AE0886">
        <w:t xml:space="preserve"> &lt;</w:t>
      </w:r>
      <w:r w:rsidR="0068592A">
        <w:t>/100</w:t>
      </w:r>
      <w:r w:rsidRPr="00AE0886">
        <w:t>)</w:t>
      </w:r>
    </w:p>
    <w:p w14:paraId="0E99F38D" w14:textId="77777777" w:rsidR="00AE0886" w:rsidRPr="00AE0886" w:rsidRDefault="00AE0886" w:rsidP="00AE0886">
      <w:r w:rsidRPr="00AE0886">
        <w:t>Selten (≥</w:t>
      </w:r>
      <w:r w:rsidR="0068592A">
        <w:t>1/10.000,</w:t>
      </w:r>
      <w:r w:rsidRPr="00AE0886">
        <w:t xml:space="preserve"> &lt;</w:t>
      </w:r>
      <w:r w:rsidR="0068592A">
        <w:t>1/1.000</w:t>
      </w:r>
      <w:r w:rsidRPr="00AE0886">
        <w:t>)</w:t>
      </w:r>
    </w:p>
    <w:p w14:paraId="43213061" w14:textId="77777777" w:rsidR="00AE0886" w:rsidRDefault="00AE0886" w:rsidP="00AE0886">
      <w:r w:rsidRPr="00AE0886">
        <w:t>Sehr selten (&lt;</w:t>
      </w:r>
      <w:r w:rsidR="0068592A">
        <w:t>1/10.000</w:t>
      </w:r>
      <w:r w:rsidRPr="00AE0886">
        <w:t>)</w:t>
      </w:r>
    </w:p>
    <w:p w14:paraId="6B49D001" w14:textId="77777777" w:rsidR="0068592A" w:rsidRPr="00AE0886" w:rsidRDefault="0068592A" w:rsidP="00271A3D">
      <w:pPr>
        <w:jc w:val="both"/>
      </w:pPr>
      <w:r>
        <w:t>Nicht bekannt (</w:t>
      </w:r>
      <w:r w:rsidRPr="0068592A">
        <w:t>Häufigkeit auf Grundlage der verfügbaren Daten nicht abschätzbar</w:t>
      </w:r>
      <w:r>
        <w:t>)</w:t>
      </w:r>
    </w:p>
    <w:p w14:paraId="09BD9D3E" w14:textId="77777777" w:rsidR="00AE0886" w:rsidRPr="00AE0886" w:rsidRDefault="00AE0886" w:rsidP="00AE0886"/>
    <w:p w14:paraId="4A461622" w14:textId="77777777" w:rsidR="00AE0886" w:rsidRPr="00AE0886" w:rsidRDefault="00AE0886" w:rsidP="00AE088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94"/>
        <w:gridCol w:w="4160"/>
      </w:tblGrid>
      <w:tr w:rsidR="00F75DD1" w:rsidRPr="00591174" w14:paraId="0B3DD61C" w14:textId="77777777" w:rsidTr="00F75DD1">
        <w:tc>
          <w:tcPr>
            <w:tcW w:w="3119" w:type="dxa"/>
          </w:tcPr>
          <w:p w14:paraId="7DCC028B" w14:textId="77777777" w:rsidR="00F75DD1" w:rsidRPr="00BA5038" w:rsidRDefault="00F75DD1" w:rsidP="00BA5038">
            <w:pPr>
              <w:keepNext/>
              <w:keepLines/>
              <w:suppressLineNumbers/>
              <w:autoSpaceDE w:val="0"/>
              <w:autoSpaceDN w:val="0"/>
              <w:adjustRightInd w:val="0"/>
              <w:rPr>
                <w:u w:val="single"/>
              </w:rPr>
            </w:pPr>
            <w:proofErr w:type="spellStart"/>
            <w:r w:rsidRPr="00BA5038">
              <w:rPr>
                <w:u w:val="single"/>
              </w:rPr>
              <w:t>MedDRA</w:t>
            </w:r>
            <w:proofErr w:type="spellEnd"/>
            <w:r w:rsidRPr="00BA5038">
              <w:rPr>
                <w:u w:val="single"/>
              </w:rPr>
              <w:t xml:space="preserve"> Systemorganklassen</w:t>
            </w:r>
          </w:p>
        </w:tc>
        <w:tc>
          <w:tcPr>
            <w:tcW w:w="1894" w:type="dxa"/>
          </w:tcPr>
          <w:p w14:paraId="168A99CA" w14:textId="77777777" w:rsidR="00F75DD1" w:rsidRPr="00BA5038" w:rsidRDefault="00F75DD1" w:rsidP="00BA5038">
            <w:pPr>
              <w:keepNext/>
              <w:keepLines/>
              <w:suppressLineNumbers/>
              <w:autoSpaceDE w:val="0"/>
              <w:autoSpaceDN w:val="0"/>
              <w:adjustRightInd w:val="0"/>
              <w:rPr>
                <w:u w:val="single"/>
              </w:rPr>
            </w:pPr>
            <w:r w:rsidRPr="00BA5038">
              <w:rPr>
                <w:u w:val="single"/>
              </w:rPr>
              <w:t>Häufig</w:t>
            </w:r>
          </w:p>
        </w:tc>
        <w:tc>
          <w:tcPr>
            <w:tcW w:w="4160" w:type="dxa"/>
          </w:tcPr>
          <w:p w14:paraId="5E3AA7A2" w14:textId="77777777" w:rsidR="00F75DD1" w:rsidRPr="00BA5038" w:rsidRDefault="00F75DD1" w:rsidP="00BA5038">
            <w:pPr>
              <w:keepNext/>
              <w:keepLines/>
              <w:suppressLineNumbers/>
              <w:autoSpaceDE w:val="0"/>
              <w:autoSpaceDN w:val="0"/>
              <w:adjustRightInd w:val="0"/>
              <w:rPr>
                <w:u w:val="single"/>
              </w:rPr>
            </w:pPr>
            <w:r w:rsidRPr="00BA5038">
              <w:rPr>
                <w:u w:val="single"/>
              </w:rPr>
              <w:t>Nebenwirkungen</w:t>
            </w:r>
          </w:p>
        </w:tc>
      </w:tr>
      <w:tr w:rsidR="00BA5038" w:rsidRPr="00591174" w14:paraId="2AB0C17E" w14:textId="77777777" w:rsidTr="00F75DD1">
        <w:trPr>
          <w:trHeight w:val="245"/>
        </w:trPr>
        <w:tc>
          <w:tcPr>
            <w:tcW w:w="3119" w:type="dxa"/>
          </w:tcPr>
          <w:p w14:paraId="5E4BA4FF" w14:textId="77777777" w:rsidR="00BA5038" w:rsidRPr="00591174" w:rsidRDefault="00BA5038" w:rsidP="00BA5038">
            <w:pPr>
              <w:keepNext/>
              <w:keepLines/>
              <w:suppressLineNumbers/>
              <w:autoSpaceDE w:val="0"/>
              <w:autoSpaceDN w:val="0"/>
              <w:adjustRightInd w:val="0"/>
              <w:rPr>
                <w:noProof/>
                <w:szCs w:val="22"/>
              </w:rPr>
            </w:pPr>
            <w:r w:rsidRPr="00BA5038">
              <w:t>Erkrankungen der Haut und des Unterhautzellgewebes</w:t>
            </w:r>
          </w:p>
        </w:tc>
        <w:tc>
          <w:tcPr>
            <w:tcW w:w="1894" w:type="dxa"/>
          </w:tcPr>
          <w:p w14:paraId="1705A6A7" w14:textId="77777777" w:rsidR="00BA5038" w:rsidRPr="00591174" w:rsidRDefault="00BA5038" w:rsidP="00BA5038">
            <w:pPr>
              <w:keepNext/>
              <w:keepLines/>
              <w:suppressLineNumbers/>
              <w:autoSpaceDE w:val="0"/>
              <w:autoSpaceDN w:val="0"/>
              <w:adjustRightInd w:val="0"/>
              <w:rPr>
                <w:noProof/>
                <w:szCs w:val="22"/>
              </w:rPr>
            </w:pPr>
            <w:r w:rsidRPr="00AE0886">
              <w:t>Sehr selten</w:t>
            </w:r>
          </w:p>
        </w:tc>
        <w:tc>
          <w:tcPr>
            <w:tcW w:w="4160" w:type="dxa"/>
          </w:tcPr>
          <w:p w14:paraId="4ED70A3E" w14:textId="77777777" w:rsidR="00BA5038" w:rsidRPr="00591174" w:rsidRDefault="00BA5038" w:rsidP="00BA5038">
            <w:pPr>
              <w:keepNext/>
              <w:keepLines/>
              <w:widowControl w:val="0"/>
              <w:tabs>
                <w:tab w:val="left" w:pos="360"/>
              </w:tabs>
              <w:autoSpaceDE w:val="0"/>
              <w:autoSpaceDN w:val="0"/>
              <w:adjustRightInd w:val="0"/>
              <w:spacing w:line="288" w:lineRule="auto"/>
              <w:textAlignment w:val="baseline"/>
              <w:rPr>
                <w:szCs w:val="22"/>
              </w:rPr>
            </w:pPr>
            <w:r w:rsidRPr="007D3981">
              <w:t>Reizerscheinungen</w:t>
            </w:r>
            <w:r>
              <w:t xml:space="preserve">, </w:t>
            </w:r>
            <w:r w:rsidRPr="007D3981">
              <w:t>Überempfindlichkeitsreaktionen</w:t>
            </w:r>
          </w:p>
        </w:tc>
      </w:tr>
      <w:tr w:rsidR="00BA5038" w:rsidRPr="00591174" w14:paraId="1DBEFCA4" w14:textId="77777777" w:rsidTr="00F75DD1">
        <w:trPr>
          <w:trHeight w:val="245"/>
        </w:trPr>
        <w:tc>
          <w:tcPr>
            <w:tcW w:w="3119" w:type="dxa"/>
          </w:tcPr>
          <w:p w14:paraId="59FBD7DD" w14:textId="77777777" w:rsidR="00BA5038" w:rsidRPr="00591174" w:rsidRDefault="00BA5038" w:rsidP="00BA5038">
            <w:pPr>
              <w:keepNext/>
              <w:keepLines/>
              <w:suppressLineNumbers/>
              <w:autoSpaceDE w:val="0"/>
              <w:autoSpaceDN w:val="0"/>
              <w:adjustRightInd w:val="0"/>
              <w:rPr>
                <w:noProof/>
                <w:szCs w:val="22"/>
              </w:rPr>
            </w:pPr>
            <w:r w:rsidRPr="00F75DD1">
              <w:t>Augenerkrankungen</w:t>
            </w:r>
          </w:p>
        </w:tc>
        <w:tc>
          <w:tcPr>
            <w:tcW w:w="1894" w:type="dxa"/>
          </w:tcPr>
          <w:p w14:paraId="2D951200" w14:textId="77777777" w:rsidR="00BA5038" w:rsidRPr="00591174" w:rsidRDefault="00BA5038" w:rsidP="00BA5038">
            <w:pPr>
              <w:keepNext/>
              <w:keepLines/>
              <w:suppressLineNumbers/>
              <w:autoSpaceDE w:val="0"/>
              <w:autoSpaceDN w:val="0"/>
              <w:adjustRightInd w:val="0"/>
              <w:rPr>
                <w:noProof/>
                <w:szCs w:val="22"/>
              </w:rPr>
            </w:pPr>
            <w:r>
              <w:t>Nicht bekannt</w:t>
            </w:r>
          </w:p>
        </w:tc>
        <w:tc>
          <w:tcPr>
            <w:tcW w:w="4160" w:type="dxa"/>
          </w:tcPr>
          <w:p w14:paraId="4AE0663D" w14:textId="77777777" w:rsidR="00BA5038" w:rsidRPr="00F75DD1" w:rsidRDefault="00BA5038" w:rsidP="00BA5038">
            <w:pPr>
              <w:keepNext/>
              <w:keepLines/>
              <w:suppressLineNumbers/>
              <w:autoSpaceDE w:val="0"/>
              <w:autoSpaceDN w:val="0"/>
              <w:adjustRightInd w:val="0"/>
            </w:pPr>
            <w:r w:rsidRPr="00F75DD1">
              <w:t>Verschwommenes Sehen (siehe auch Abschnitt 4.4)</w:t>
            </w:r>
          </w:p>
        </w:tc>
      </w:tr>
    </w:tbl>
    <w:p w14:paraId="42EEE82F" w14:textId="77777777" w:rsidR="00AE0886" w:rsidRPr="00AE0886" w:rsidRDefault="00AE0886" w:rsidP="00AE0886"/>
    <w:p w14:paraId="624E2D49" w14:textId="77777777" w:rsidR="00AE0886" w:rsidRPr="00AE0886" w:rsidRDefault="00AE0886" w:rsidP="00271A3D">
      <w:pPr>
        <w:jc w:val="both"/>
      </w:pPr>
      <w:r w:rsidRPr="00AE0886">
        <w:t xml:space="preserve">Aufgrund des </w:t>
      </w:r>
      <w:proofErr w:type="spellStart"/>
      <w:r w:rsidR="005F4D85">
        <w:t>Gluko</w:t>
      </w:r>
      <w:r w:rsidR="003410FA">
        <w:t>k</w:t>
      </w:r>
      <w:r w:rsidRPr="00AE0886">
        <w:t>orti</w:t>
      </w:r>
      <w:r w:rsidR="003410FA">
        <w:t>k</w:t>
      </w:r>
      <w:r w:rsidRPr="00AE0886">
        <w:t>oidzusatzes</w:t>
      </w:r>
      <w:proofErr w:type="spellEnd"/>
      <w:r w:rsidRPr="00AE0886">
        <w:t xml:space="preserve"> </w:t>
      </w:r>
      <w:r w:rsidR="00544F18">
        <w:t>sind be</w:t>
      </w:r>
      <w:r w:rsidRPr="00AE0886">
        <w:t>sonders bei großflächiger (mehr als 10% der Körperoberfläche) und/oder lang dauernder Anwendung</w:t>
      </w:r>
      <w:r w:rsidR="00544F18">
        <w:t xml:space="preserve"> (mehr als 3</w:t>
      </w:r>
      <w:r w:rsidR="000457BB">
        <w:t xml:space="preserve"> </w:t>
      </w:r>
      <w:r w:rsidR="00544F18">
        <w:t>-</w:t>
      </w:r>
      <w:r w:rsidR="000457BB">
        <w:t xml:space="preserve"> </w:t>
      </w:r>
      <w:r w:rsidR="00544F18">
        <w:t>4 Wochen) sowie un</w:t>
      </w:r>
      <w:r w:rsidRPr="00AE0886">
        <w:t xml:space="preserve">ter Okklusivverbänden Hautveränderungen, wie </w:t>
      </w:r>
      <w:proofErr w:type="spellStart"/>
      <w:r w:rsidRPr="00AE0886">
        <w:t>Dünnerwe</w:t>
      </w:r>
      <w:r w:rsidR="00544F18">
        <w:t>rden</w:t>
      </w:r>
      <w:proofErr w:type="spellEnd"/>
      <w:r w:rsidR="00544F18">
        <w:t xml:space="preserve"> der Haut (Atrophien), blei</w:t>
      </w:r>
      <w:r w:rsidRPr="00AE0886">
        <w:t>bende Erweiterung der Hautgefäße (T</w:t>
      </w:r>
      <w:r w:rsidR="00544F18">
        <w:t>elean</w:t>
      </w:r>
      <w:r w:rsidRPr="00AE0886">
        <w:t xml:space="preserve">giektasien), Streifenbildung der Haut (Striae </w:t>
      </w:r>
      <w:proofErr w:type="spellStart"/>
      <w:r w:rsidRPr="00AE0886">
        <w:t>distensae</w:t>
      </w:r>
      <w:proofErr w:type="spellEnd"/>
      <w:r w:rsidRPr="00AE0886">
        <w:t>),</w:t>
      </w:r>
      <w:r w:rsidR="00544F18">
        <w:t xml:space="preserve"> </w:t>
      </w:r>
      <w:proofErr w:type="spellStart"/>
      <w:r w:rsidR="00544F18">
        <w:t>akneförmige</w:t>
      </w:r>
      <w:proofErr w:type="spellEnd"/>
      <w:r w:rsidR="00544F18">
        <w:t xml:space="preserve"> Erscheinungen, </w:t>
      </w:r>
      <w:proofErr w:type="spellStart"/>
      <w:r w:rsidR="00544F18">
        <w:t>ros</w:t>
      </w:r>
      <w:r w:rsidR="00237172">
        <w:t>az</w:t>
      </w:r>
      <w:r w:rsidRPr="00AE0886">
        <w:t>eaartige</w:t>
      </w:r>
      <w:proofErr w:type="spellEnd"/>
      <w:r w:rsidRPr="00AE0886">
        <w:t xml:space="preserve"> (periorale) Dermatitis, Änderungen der Hautpigmentierung, </w:t>
      </w:r>
      <w:proofErr w:type="spellStart"/>
      <w:r w:rsidRPr="00AE0886">
        <w:t>Hypertrichosis</w:t>
      </w:r>
      <w:proofErr w:type="spellEnd"/>
      <w:r w:rsidRPr="00AE0886">
        <w:t xml:space="preserve">, eine systemische Resorption und damit das Risiko systemischer Effekte, wie Suppression des Regelkreises Hypothalamus-Hypophyse-Nebenniere, Cushing-Syndrom nicht auszuschließen. </w:t>
      </w:r>
    </w:p>
    <w:p w14:paraId="6C2C3E08" w14:textId="77777777" w:rsidR="00AE0886" w:rsidRPr="00AE0886" w:rsidRDefault="00AE0886" w:rsidP="00AE0886"/>
    <w:p w14:paraId="7854A40D" w14:textId="77777777" w:rsidR="00AE0886" w:rsidRPr="00AE0886" w:rsidRDefault="00AE0886" w:rsidP="00271A3D">
      <w:pPr>
        <w:jc w:val="both"/>
      </w:pPr>
      <w:r w:rsidRPr="00AE0886">
        <w:lastRenderedPageBreak/>
        <w:t xml:space="preserve">Bei der </w:t>
      </w:r>
      <w:r w:rsidR="00544F18">
        <w:t>üblichen Anwendungsdauer (höchs</w:t>
      </w:r>
      <w:r w:rsidRPr="00AE0886">
        <w:t>tens 1 Woche</w:t>
      </w:r>
      <w:r w:rsidR="00544F18">
        <w:t>) treten in der Regel keine sys</w:t>
      </w:r>
      <w:r w:rsidRPr="00AE0886">
        <w:t xml:space="preserve">temischen oder lokalen Nebenwirkungen auf. </w:t>
      </w:r>
    </w:p>
    <w:p w14:paraId="62267D55" w14:textId="77777777" w:rsidR="00E26A7B" w:rsidRDefault="00E26A7B" w:rsidP="00271A3D">
      <w:pPr>
        <w:jc w:val="both"/>
      </w:pPr>
    </w:p>
    <w:p w14:paraId="79A31465" w14:textId="77777777" w:rsidR="00A1700A" w:rsidRPr="0002176E" w:rsidRDefault="00A1700A" w:rsidP="00271A3D">
      <w:pPr>
        <w:jc w:val="both"/>
        <w:rPr>
          <w:szCs w:val="22"/>
          <w:u w:val="single"/>
        </w:rPr>
      </w:pPr>
      <w:r w:rsidRPr="0002176E">
        <w:rPr>
          <w:noProof/>
          <w:szCs w:val="22"/>
          <w:u w:val="single"/>
        </w:rPr>
        <w:t xml:space="preserve">Meldung des Verdachts auf Nebenwirkungen </w:t>
      </w:r>
    </w:p>
    <w:p w14:paraId="005263D3" w14:textId="77777777" w:rsidR="00A1700A" w:rsidRPr="009258CB" w:rsidRDefault="00A1700A" w:rsidP="00271A3D">
      <w:pPr>
        <w:jc w:val="both"/>
        <w:rPr>
          <w:szCs w:val="22"/>
        </w:rPr>
      </w:pPr>
      <w:r w:rsidRPr="009258CB">
        <w:rPr>
          <w:noProof/>
          <w:szCs w:val="22"/>
        </w:rPr>
        <w:t xml:space="preserve">Die Meldung des Verdachts auf </w:t>
      </w:r>
      <w:r>
        <w:rPr>
          <w:noProof/>
          <w:szCs w:val="22"/>
        </w:rPr>
        <w:t>Nebenwirkungen</w:t>
      </w:r>
      <w:r w:rsidRPr="009258CB">
        <w:rPr>
          <w:noProof/>
          <w:szCs w:val="22"/>
        </w:rPr>
        <w:t xml:space="preserve"> nach der Zulassung ist von großer Wichtigkeit.</w:t>
      </w:r>
      <w:r w:rsidRPr="009258CB">
        <w:rPr>
          <w:szCs w:val="22"/>
        </w:rPr>
        <w:t xml:space="preserve"> </w:t>
      </w:r>
      <w:r w:rsidRPr="009258CB">
        <w:rPr>
          <w:noProof/>
          <w:szCs w:val="22"/>
        </w:rPr>
        <w:t>Sie ermöglicht eine kontinuierliche Überwachung des Nutzen-Risiko-Verhältnisses des Arzneimittels.</w:t>
      </w:r>
      <w:r w:rsidRPr="009258CB">
        <w:rPr>
          <w:szCs w:val="22"/>
        </w:rPr>
        <w:t xml:space="preserve"> </w:t>
      </w:r>
      <w:r w:rsidRPr="00E2278C">
        <w:t>Angehörige</w:t>
      </w:r>
      <w:r w:rsidRPr="00D5288A">
        <w:t xml:space="preserve"> von Gesundheitsberuf</w:t>
      </w:r>
      <w:r>
        <w:t>e</w:t>
      </w:r>
      <w:r w:rsidRPr="00E2278C">
        <w:t>n</w:t>
      </w:r>
      <w:r>
        <w:rPr>
          <w:noProof/>
          <w:szCs w:val="22"/>
        </w:rPr>
        <w:t xml:space="preserve"> sind aufgefordert</w:t>
      </w:r>
      <w:r w:rsidRPr="009258CB">
        <w:rPr>
          <w:noProof/>
          <w:szCs w:val="22"/>
        </w:rPr>
        <w:t xml:space="preserve">, </w:t>
      </w:r>
      <w:r>
        <w:rPr>
          <w:noProof/>
          <w:szCs w:val="22"/>
        </w:rPr>
        <w:t>jeden</w:t>
      </w:r>
      <w:r w:rsidRPr="009258CB">
        <w:rPr>
          <w:noProof/>
          <w:szCs w:val="22"/>
        </w:rPr>
        <w:t xml:space="preserve"> Verdacht</w:t>
      </w:r>
      <w:r>
        <w:rPr>
          <w:noProof/>
          <w:szCs w:val="22"/>
        </w:rPr>
        <w:t>sfall einer</w:t>
      </w:r>
      <w:r w:rsidRPr="009258CB">
        <w:rPr>
          <w:noProof/>
          <w:szCs w:val="22"/>
        </w:rPr>
        <w:t xml:space="preserve"> </w:t>
      </w:r>
      <w:r>
        <w:rPr>
          <w:noProof/>
          <w:szCs w:val="22"/>
        </w:rPr>
        <w:t>Nebenwirkung</w:t>
      </w:r>
      <w:r w:rsidRPr="009258CB">
        <w:rPr>
          <w:noProof/>
          <w:szCs w:val="22"/>
        </w:rPr>
        <w:t xml:space="preserve"> über </w:t>
      </w:r>
      <w:r w:rsidRPr="0002176E">
        <w:rPr>
          <w:noProof/>
          <w:szCs w:val="22"/>
        </w:rPr>
        <w:t xml:space="preserve">das </w:t>
      </w:r>
      <w:r w:rsidR="00010157" w:rsidRPr="00FF6B3B">
        <w:rPr>
          <w:noProof/>
          <w:szCs w:val="22"/>
        </w:rPr>
        <w:t>B</w:t>
      </w:r>
      <w:r w:rsidR="00010157" w:rsidRPr="00010157">
        <w:rPr>
          <w:noProof/>
          <w:szCs w:val="22"/>
        </w:rPr>
        <w:t>undesinstitut für Arzneimittel und Medizinprodukte</w:t>
      </w:r>
      <w:r w:rsidR="00010157">
        <w:rPr>
          <w:noProof/>
          <w:szCs w:val="22"/>
        </w:rPr>
        <w:t xml:space="preserve">, </w:t>
      </w:r>
      <w:r w:rsidR="00010157" w:rsidRPr="00010157">
        <w:rPr>
          <w:noProof/>
          <w:szCs w:val="22"/>
        </w:rPr>
        <w:t>Abt. Pharmakovigilanz</w:t>
      </w:r>
      <w:r w:rsidR="00010157">
        <w:rPr>
          <w:noProof/>
          <w:szCs w:val="22"/>
        </w:rPr>
        <w:t xml:space="preserve">, </w:t>
      </w:r>
      <w:r w:rsidR="00475EE0">
        <w:rPr>
          <w:noProof/>
          <w:szCs w:val="22"/>
        </w:rPr>
        <w:br/>
      </w:r>
      <w:r w:rsidR="00010157" w:rsidRPr="00010157">
        <w:rPr>
          <w:noProof/>
          <w:szCs w:val="22"/>
        </w:rPr>
        <w:t>Kurt-Georg-Kiesinger Allee 3</w:t>
      </w:r>
      <w:r w:rsidR="00010157">
        <w:rPr>
          <w:noProof/>
          <w:szCs w:val="22"/>
        </w:rPr>
        <w:t xml:space="preserve">, </w:t>
      </w:r>
      <w:r w:rsidR="00010157" w:rsidRPr="00010157">
        <w:rPr>
          <w:noProof/>
          <w:szCs w:val="22"/>
        </w:rPr>
        <w:t>D-53175 Bonn</w:t>
      </w:r>
      <w:r w:rsidR="00010157">
        <w:rPr>
          <w:noProof/>
          <w:szCs w:val="22"/>
        </w:rPr>
        <w:t xml:space="preserve">, </w:t>
      </w:r>
      <w:r w:rsidR="00010157" w:rsidRPr="00010157">
        <w:rPr>
          <w:noProof/>
          <w:szCs w:val="22"/>
        </w:rPr>
        <w:t>Website: http://www.bfarm.de</w:t>
      </w:r>
      <w:r w:rsidR="003F0C31">
        <w:rPr>
          <w:noProof/>
          <w:szCs w:val="22"/>
        </w:rPr>
        <w:t xml:space="preserve"> </w:t>
      </w:r>
      <w:r>
        <w:rPr>
          <w:noProof/>
          <w:szCs w:val="22"/>
        </w:rPr>
        <w:t>anzuzeigen</w:t>
      </w:r>
      <w:r w:rsidRPr="009258CB">
        <w:rPr>
          <w:noProof/>
          <w:szCs w:val="22"/>
        </w:rPr>
        <w:t>.</w:t>
      </w:r>
    </w:p>
    <w:p w14:paraId="73CC5650" w14:textId="77777777" w:rsidR="00A1700A" w:rsidRDefault="00A1700A"/>
    <w:p w14:paraId="011831E8" w14:textId="77777777" w:rsidR="00A1700A" w:rsidRPr="00AE0886" w:rsidRDefault="00A1700A"/>
    <w:p w14:paraId="183F2FEE" w14:textId="77777777" w:rsidR="00482315" w:rsidRDefault="00482315">
      <w:pPr>
        <w:ind w:left="567" w:hanging="567"/>
      </w:pPr>
      <w:r>
        <w:rPr>
          <w:b/>
        </w:rPr>
        <w:t>4.9</w:t>
      </w:r>
      <w:r>
        <w:rPr>
          <w:b/>
        </w:rPr>
        <w:tab/>
        <w:t>Überdosierung</w:t>
      </w:r>
    </w:p>
    <w:p w14:paraId="4B1E7C1A" w14:textId="77777777" w:rsidR="00482315" w:rsidRDefault="00482315"/>
    <w:p w14:paraId="6B8BD117" w14:textId="77777777" w:rsidR="00482315" w:rsidRPr="00AE0886" w:rsidRDefault="00AE0886">
      <w:r w:rsidRPr="00AE0886">
        <w:rPr>
          <w:noProof/>
        </w:rPr>
        <w:t>Es wurden keine Fälle vo</w:t>
      </w:r>
      <w:r w:rsidR="00544F18">
        <w:rPr>
          <w:noProof/>
        </w:rPr>
        <w:t>n Überdosierung be</w:t>
      </w:r>
      <w:r w:rsidRPr="00AE0886">
        <w:rPr>
          <w:noProof/>
        </w:rPr>
        <w:t>richtet.</w:t>
      </w:r>
    </w:p>
    <w:p w14:paraId="6DE14734" w14:textId="77777777" w:rsidR="00482315" w:rsidRDefault="00482315"/>
    <w:p w14:paraId="76758CCD" w14:textId="77777777" w:rsidR="00482315" w:rsidRDefault="00482315">
      <w:pPr>
        <w:ind w:left="567" w:hanging="567"/>
      </w:pPr>
      <w:r>
        <w:rPr>
          <w:b/>
        </w:rPr>
        <w:t>5.</w:t>
      </w:r>
      <w:r>
        <w:rPr>
          <w:b/>
        </w:rPr>
        <w:tab/>
        <w:t>PHARMAKOLOGISCHE EIGENSCHAFTEN</w:t>
      </w:r>
    </w:p>
    <w:p w14:paraId="16A77881" w14:textId="77777777" w:rsidR="00482315" w:rsidRDefault="00482315"/>
    <w:p w14:paraId="31C6B339" w14:textId="77777777" w:rsidR="00482315" w:rsidRDefault="00482315">
      <w:pPr>
        <w:ind w:left="567" w:hanging="567"/>
      </w:pPr>
      <w:r>
        <w:rPr>
          <w:b/>
        </w:rPr>
        <w:t>5.1</w:t>
      </w:r>
      <w:r>
        <w:rPr>
          <w:b/>
        </w:rPr>
        <w:tab/>
        <w:t>Pharmakodynamische Eigenschaften</w:t>
      </w:r>
    </w:p>
    <w:p w14:paraId="2ED65AB0" w14:textId="77777777" w:rsidR="00482315" w:rsidRDefault="00482315"/>
    <w:p w14:paraId="7061E8A0" w14:textId="77777777" w:rsidR="00E54EA2" w:rsidRDefault="00E54EA2" w:rsidP="00271A3D">
      <w:pPr>
        <w:jc w:val="both"/>
      </w:pPr>
      <w:r>
        <w:t>Pharmakoth</w:t>
      </w:r>
      <w:r w:rsidR="00544F18">
        <w:t>erapeutische Gruppe: Antimykoti</w:t>
      </w:r>
      <w:r>
        <w:t xml:space="preserve">ka zur </w:t>
      </w:r>
      <w:proofErr w:type="spellStart"/>
      <w:r>
        <w:t>topischen</w:t>
      </w:r>
      <w:proofErr w:type="spellEnd"/>
      <w:r>
        <w:t xml:space="preserve"> Anwendung/</w:t>
      </w:r>
      <w:r w:rsidR="003410FA">
        <w:t>K</w:t>
      </w:r>
      <w:r>
        <w:t>orti</w:t>
      </w:r>
      <w:r w:rsidR="003410FA">
        <w:t>k</w:t>
      </w:r>
      <w:r>
        <w:t>osteroide, Dermatologische Zubereitungen</w:t>
      </w:r>
    </w:p>
    <w:p w14:paraId="77264865" w14:textId="77777777" w:rsidR="00482315" w:rsidRPr="00826C62" w:rsidRDefault="00E54EA2" w:rsidP="00271A3D">
      <w:pPr>
        <w:jc w:val="both"/>
        <w:rPr>
          <w:lang w:val="fr-FR"/>
        </w:rPr>
      </w:pPr>
      <w:r w:rsidRPr="00826C62">
        <w:rPr>
          <w:lang w:val="fr-FR"/>
        </w:rPr>
        <w:t>ATC-Code: D01AC01/D07AA03</w:t>
      </w:r>
    </w:p>
    <w:p w14:paraId="12B437B7" w14:textId="77777777" w:rsidR="00E54EA2" w:rsidRPr="00826C62" w:rsidRDefault="00E54EA2" w:rsidP="00271A3D">
      <w:pPr>
        <w:jc w:val="both"/>
        <w:rPr>
          <w:lang w:val="fr-FR"/>
        </w:rPr>
      </w:pPr>
    </w:p>
    <w:p w14:paraId="26CA260C" w14:textId="77777777" w:rsidR="00F05854" w:rsidRPr="00826C62" w:rsidRDefault="00F05854" w:rsidP="00271A3D">
      <w:pPr>
        <w:jc w:val="both"/>
        <w:rPr>
          <w:b/>
          <w:lang w:val="fr-FR"/>
        </w:rPr>
      </w:pPr>
      <w:proofErr w:type="spellStart"/>
      <w:r w:rsidRPr="00826C62">
        <w:rPr>
          <w:b/>
          <w:lang w:val="fr-FR"/>
        </w:rPr>
        <w:t>Clotrimazol</w:t>
      </w:r>
      <w:proofErr w:type="spellEnd"/>
      <w:r w:rsidRPr="00826C62">
        <w:rPr>
          <w:b/>
          <w:lang w:val="fr-FR"/>
        </w:rPr>
        <w:t>:</w:t>
      </w:r>
    </w:p>
    <w:p w14:paraId="34226789" w14:textId="77777777" w:rsidR="00F05854" w:rsidRDefault="00F05854" w:rsidP="00271A3D">
      <w:pPr>
        <w:jc w:val="both"/>
      </w:pPr>
      <w:r>
        <w:t xml:space="preserve">Clotrimazol verfügt über ein breites Spektrum antimykotischer Wirkung </w:t>
      </w:r>
      <w:r w:rsidRPr="0002176E">
        <w:rPr>
          <w:i/>
        </w:rPr>
        <w:t>in vitro</w:t>
      </w:r>
      <w:r>
        <w:t xml:space="preserve"> und </w:t>
      </w:r>
      <w:r w:rsidRPr="0002176E">
        <w:rPr>
          <w:i/>
        </w:rPr>
        <w:t>in vivo</w:t>
      </w:r>
      <w:r>
        <w:t xml:space="preserve">, </w:t>
      </w:r>
      <w:proofErr w:type="gramStart"/>
      <w:r>
        <w:t>das</w:t>
      </w:r>
      <w:proofErr w:type="gramEnd"/>
      <w:r>
        <w:t xml:space="preserve"> Dermatophyten, hefeähnliche Pilze, Schimmelpilze und dimorphe Pilze umfasst. </w:t>
      </w:r>
    </w:p>
    <w:p w14:paraId="26EAD00F" w14:textId="77777777" w:rsidR="00A125F9" w:rsidRDefault="00F05854" w:rsidP="00271A3D">
      <w:pPr>
        <w:jc w:val="both"/>
      </w:pPr>
      <w:r>
        <w:t xml:space="preserve">Unter geeigneten Prüfbedingungen liegen die MHK-Werte für diese Pilzspezies gewöhnlich im Bereich von weniger als 0,062 -4 (-8) </w:t>
      </w:r>
      <w:proofErr w:type="spellStart"/>
      <w:r>
        <w:t>μg</w:t>
      </w:r>
      <w:proofErr w:type="spellEnd"/>
      <w:r>
        <w:t xml:space="preserve">/ml Substrat. Clotrimazol ist in seinem Wirkmechanismus primär fungistatisch. Die Wirkung </w:t>
      </w:r>
      <w:r w:rsidRPr="0002176E">
        <w:rPr>
          <w:i/>
        </w:rPr>
        <w:t>in vitro</w:t>
      </w:r>
      <w:r>
        <w:t xml:space="preserve"> ist begrenzt auf proliferierende Pilzelemente, Pilzsporen sind nur wenig empfindlich. Die Substanz wirkt bei Pilzen als Hemmer der </w:t>
      </w:r>
      <w:proofErr w:type="spellStart"/>
      <w:r>
        <w:t>Ergosterol</w:t>
      </w:r>
      <w:proofErr w:type="spellEnd"/>
      <w:r>
        <w:t xml:space="preserve">-Synthese, wodurch es zu strukturellen und funktionellen Störungen der </w:t>
      </w:r>
      <w:proofErr w:type="spellStart"/>
      <w:r>
        <w:t>Zytoplasmamembran</w:t>
      </w:r>
      <w:proofErr w:type="spellEnd"/>
      <w:r>
        <w:t xml:space="preserve"> kommt. </w:t>
      </w:r>
    </w:p>
    <w:p w14:paraId="193C8866" w14:textId="77777777" w:rsidR="00F05854" w:rsidRDefault="00F05854" w:rsidP="00271A3D">
      <w:pPr>
        <w:jc w:val="both"/>
      </w:pPr>
    </w:p>
    <w:p w14:paraId="42496654" w14:textId="77777777" w:rsidR="00F05854" w:rsidRDefault="00F05854" w:rsidP="00271A3D">
      <w:pPr>
        <w:jc w:val="both"/>
      </w:pPr>
      <w:r>
        <w:t>Die Resistenzsituation für Clotrimazol kann als günstig angesehen werden: Primär resistente Varianten sensibler Pilzspezies sind sehr selten, die Entwicklung einer sekundären Resistenz bei sensiblen Pilze</w:t>
      </w:r>
      <w:r w:rsidR="00A125F9">
        <w:t>n</w:t>
      </w:r>
      <w:r>
        <w:t xml:space="preserve"> wurde unter therapeutischen Bedingungen bisher nur ganz vereinzelt beobachtet. </w:t>
      </w:r>
    </w:p>
    <w:p w14:paraId="14E783FA" w14:textId="77777777" w:rsidR="00F05854" w:rsidRDefault="00F05854" w:rsidP="00271A3D">
      <w:pPr>
        <w:jc w:val="both"/>
      </w:pPr>
    </w:p>
    <w:p w14:paraId="10BED109" w14:textId="77777777" w:rsidR="00F05854" w:rsidRPr="0002176E" w:rsidRDefault="00F05854" w:rsidP="00271A3D">
      <w:pPr>
        <w:jc w:val="both"/>
        <w:rPr>
          <w:b/>
        </w:rPr>
      </w:pPr>
      <w:proofErr w:type="spellStart"/>
      <w:r w:rsidRPr="0002176E">
        <w:rPr>
          <w:b/>
        </w:rPr>
        <w:t>Hexamidin</w:t>
      </w:r>
      <w:proofErr w:type="spellEnd"/>
      <w:r w:rsidRPr="0002176E">
        <w:rPr>
          <w:b/>
        </w:rPr>
        <w:t xml:space="preserve">: </w:t>
      </w:r>
    </w:p>
    <w:p w14:paraId="0365F720" w14:textId="77777777" w:rsidR="00F05854" w:rsidRDefault="00F05854" w:rsidP="00271A3D">
      <w:pPr>
        <w:jc w:val="both"/>
      </w:pPr>
      <w:proofErr w:type="spellStart"/>
      <w:r>
        <w:t>Hexamidin</w:t>
      </w:r>
      <w:proofErr w:type="spellEnd"/>
      <w:r>
        <w:t>/</w:t>
      </w:r>
      <w:proofErr w:type="spellStart"/>
      <w:r>
        <w:t>Hexamidindiisetionat</w:t>
      </w:r>
      <w:proofErr w:type="spellEnd"/>
      <w:r>
        <w:t xml:space="preserve"> gehören zu einer homologen Reihe der </w:t>
      </w:r>
      <w:proofErr w:type="spellStart"/>
      <w:r>
        <w:t>Diamidine</w:t>
      </w:r>
      <w:proofErr w:type="spellEnd"/>
      <w:r>
        <w:t xml:space="preserve">, die seit langem als Chemotherapeutika Anwendung finden. Innerhalb der homologen Reihe der </w:t>
      </w:r>
      <w:proofErr w:type="spellStart"/>
      <w:r>
        <w:t>Diamidine</w:t>
      </w:r>
      <w:proofErr w:type="spellEnd"/>
      <w:r>
        <w:t xml:space="preserve"> steigt die antimikrobielle Wirksamkeit mit der aliphatischen Kettenlänge und erreicht ihr Maximum mit 6 CH</w:t>
      </w:r>
      <w:r w:rsidRPr="0002176E">
        <w:rPr>
          <w:vertAlign w:val="subscript"/>
        </w:rPr>
        <w:t>2</w:t>
      </w:r>
      <w:r>
        <w:t xml:space="preserve">-Gruppen, also mit </w:t>
      </w:r>
      <w:proofErr w:type="spellStart"/>
      <w:r>
        <w:t>Hexamidin</w:t>
      </w:r>
      <w:proofErr w:type="spellEnd"/>
      <w:r>
        <w:t xml:space="preserve">. Diese Wirksamkeit richtet sich hauptsächlich gegen grampositive Pathogene (z.B. </w:t>
      </w:r>
      <w:r w:rsidRPr="0002176E">
        <w:rPr>
          <w:i/>
        </w:rPr>
        <w:t>Streptococcus</w:t>
      </w:r>
      <w:r>
        <w:t xml:space="preserve"> </w:t>
      </w:r>
      <w:proofErr w:type="spellStart"/>
      <w:r>
        <w:t>sp</w:t>
      </w:r>
      <w:proofErr w:type="spellEnd"/>
      <w:r>
        <w:t xml:space="preserve">., </w:t>
      </w:r>
      <w:proofErr w:type="spellStart"/>
      <w:r w:rsidRPr="0002176E">
        <w:rPr>
          <w:i/>
        </w:rPr>
        <w:t>Staphylococcus</w:t>
      </w:r>
      <w:proofErr w:type="spellEnd"/>
      <w:r w:rsidRPr="0002176E">
        <w:rPr>
          <w:i/>
        </w:rPr>
        <w:t xml:space="preserve"> </w:t>
      </w:r>
      <w:proofErr w:type="spellStart"/>
      <w:r w:rsidRPr="0002176E">
        <w:rPr>
          <w:i/>
        </w:rPr>
        <w:t>aureus</w:t>
      </w:r>
      <w:proofErr w:type="spellEnd"/>
      <w:r>
        <w:t xml:space="preserve">), jedoch auch gegen einige gramnegative Bakterien und Pilze (z.B. </w:t>
      </w:r>
      <w:r w:rsidRPr="0002176E">
        <w:rPr>
          <w:i/>
        </w:rPr>
        <w:t>Pseudomonas aeruginosa</w:t>
      </w:r>
      <w:r>
        <w:t xml:space="preserve">, </w:t>
      </w:r>
      <w:r w:rsidRPr="0002176E">
        <w:rPr>
          <w:i/>
        </w:rPr>
        <w:t>Candida</w:t>
      </w:r>
      <w:r>
        <w:t>-Arten).</w:t>
      </w:r>
    </w:p>
    <w:p w14:paraId="79C64A95" w14:textId="77777777" w:rsidR="00767582" w:rsidRDefault="00767582" w:rsidP="00271A3D">
      <w:pPr>
        <w:jc w:val="both"/>
      </w:pPr>
    </w:p>
    <w:p w14:paraId="47282CAA" w14:textId="77777777" w:rsidR="006C2026" w:rsidRDefault="00767582" w:rsidP="00271A3D">
      <w:pPr>
        <w:jc w:val="both"/>
      </w:pPr>
      <w:r>
        <w:t xml:space="preserve">Untersuchungen zeigten, dass die Kombination von Clotrimazol mit </w:t>
      </w:r>
      <w:proofErr w:type="spellStart"/>
      <w:r>
        <w:t>Hexamidindiisetionat</w:t>
      </w:r>
      <w:proofErr w:type="spellEnd"/>
      <w:r>
        <w:t xml:space="preserve"> im Gegensatz zu Clotrimazol </w:t>
      </w:r>
      <w:proofErr w:type="gramStart"/>
      <w:r>
        <w:t>alleine</w:t>
      </w:r>
      <w:proofErr w:type="gramEnd"/>
      <w:r>
        <w:t xml:space="preserve"> nicht nur grampositive, sondern auch gramnegative Keime abtöten. Darüber hinaus bewirkten beide Stoffe in Kombination im Agar-Diffusionstest nicht nur eine Wachstumshemmung, sondern eine Abtötung von Hefepilzen (Candida).</w:t>
      </w:r>
    </w:p>
    <w:p w14:paraId="6B465D62" w14:textId="77777777" w:rsidR="00767582" w:rsidRDefault="00767582" w:rsidP="00271A3D">
      <w:pPr>
        <w:jc w:val="both"/>
      </w:pPr>
    </w:p>
    <w:p w14:paraId="05795A76" w14:textId="77777777" w:rsidR="006C2026" w:rsidRPr="0002176E" w:rsidRDefault="006C2026" w:rsidP="00271A3D">
      <w:pPr>
        <w:jc w:val="both"/>
        <w:rPr>
          <w:b/>
        </w:rPr>
      </w:pPr>
      <w:r w:rsidRPr="0002176E">
        <w:rPr>
          <w:b/>
        </w:rPr>
        <w:t>Prednisolo</w:t>
      </w:r>
      <w:r w:rsidR="00A732DC">
        <w:rPr>
          <w:b/>
        </w:rPr>
        <w:t>n</w:t>
      </w:r>
      <w:r w:rsidRPr="008C5412">
        <w:rPr>
          <w:b/>
        </w:rPr>
        <w:t>-21-</w:t>
      </w:r>
      <w:r w:rsidRPr="0002176E">
        <w:rPr>
          <w:b/>
        </w:rPr>
        <w:t>acetat</w:t>
      </w:r>
      <w:r w:rsidR="00745007">
        <w:rPr>
          <w:b/>
        </w:rPr>
        <w:t>:</w:t>
      </w:r>
    </w:p>
    <w:p w14:paraId="1B901D0A" w14:textId="77777777" w:rsidR="006C2026" w:rsidRDefault="006C2026" w:rsidP="00271A3D">
      <w:pPr>
        <w:jc w:val="both"/>
      </w:pPr>
      <w:r>
        <w:t>Prednisolo</w:t>
      </w:r>
      <w:r w:rsidR="00A732DC">
        <w:t>n</w:t>
      </w:r>
      <w:r>
        <w:t xml:space="preserve">-21-acetat ist ein nicht halogeniertes Kortikoid. Es gehört zu den schwächer wirksamen Kortikoiden und besitzt eine relative antiphlogistische Stärke von 4 (bezogen auf </w:t>
      </w:r>
      <w:proofErr w:type="spellStart"/>
      <w:r>
        <w:t>Hydrokortisonacetat</w:t>
      </w:r>
      <w:proofErr w:type="spellEnd"/>
      <w:r>
        <w:t>). Prednisolon-21-acetat besitzt eine antiphlogistische und</w:t>
      </w:r>
      <w:r w:rsidR="002A1BEC">
        <w:t xml:space="preserve"> antiallergische Wirksamkeit und hemmt die subjektiven Beschwerden wie Juckreiz, Brennen oder Schmerzen.</w:t>
      </w:r>
    </w:p>
    <w:p w14:paraId="02B6B6A5" w14:textId="77777777" w:rsidR="00F05854" w:rsidRDefault="00F05854" w:rsidP="00F05854"/>
    <w:p w14:paraId="36897949" w14:textId="77777777" w:rsidR="00482315" w:rsidRDefault="00482315">
      <w:pPr>
        <w:ind w:left="567" w:hanging="567"/>
        <w:rPr>
          <w:b/>
        </w:rPr>
      </w:pPr>
      <w:r>
        <w:rPr>
          <w:b/>
        </w:rPr>
        <w:t>5.2</w:t>
      </w:r>
      <w:r>
        <w:rPr>
          <w:b/>
        </w:rPr>
        <w:tab/>
        <w:t>Pharmakokinetische Eigenschaften</w:t>
      </w:r>
    </w:p>
    <w:p w14:paraId="52FEB8D7" w14:textId="77777777" w:rsidR="00AC3F84" w:rsidRDefault="00AC3F84" w:rsidP="00C84C30">
      <w:pPr>
        <w:rPr>
          <w:b/>
        </w:rPr>
      </w:pPr>
    </w:p>
    <w:p w14:paraId="1106005A" w14:textId="77777777" w:rsidR="00C84C30" w:rsidRPr="0031024F" w:rsidRDefault="00C84C30" w:rsidP="00271A3D">
      <w:pPr>
        <w:jc w:val="both"/>
        <w:rPr>
          <w:b/>
        </w:rPr>
      </w:pPr>
      <w:r w:rsidRPr="0031024F">
        <w:rPr>
          <w:b/>
        </w:rPr>
        <w:lastRenderedPageBreak/>
        <w:t>Clotrimazol:</w:t>
      </w:r>
    </w:p>
    <w:p w14:paraId="2E4833EB" w14:textId="77777777" w:rsidR="00C84C30" w:rsidRDefault="00C84C30" w:rsidP="00271A3D">
      <w:pPr>
        <w:jc w:val="both"/>
      </w:pPr>
      <w:r>
        <w:t>Pharmakokinetische Studien nach dermaler oder vaginaler Anwendung zeigten, dass Clotrimazol nur gering mit &lt;2 bzw. 3</w:t>
      </w:r>
      <w:r w:rsidR="004A4B2A">
        <w:t xml:space="preserve"> </w:t>
      </w:r>
      <w:r>
        <w:t>-</w:t>
      </w:r>
      <w:r w:rsidR="004A4B2A">
        <w:t xml:space="preserve"> </w:t>
      </w:r>
      <w:r>
        <w:t xml:space="preserve">10% der Dosis resorbiert wird. Die daraus resultierenden Plasmaspitzenkonzentrationen des Wirkstoffes belaufen sich auf &lt;10 </w:t>
      </w:r>
      <w:proofErr w:type="spellStart"/>
      <w:r>
        <w:t>ng</w:t>
      </w:r>
      <w:proofErr w:type="spellEnd"/>
      <w:r>
        <w:t>/ml und führen nicht zu messbaren systemischen Wirkungen oder Nebenwirkungen.</w:t>
      </w:r>
    </w:p>
    <w:p w14:paraId="22FC9331" w14:textId="77777777" w:rsidR="00C84C30" w:rsidRDefault="00C84C30" w:rsidP="00271A3D">
      <w:pPr>
        <w:jc w:val="both"/>
      </w:pPr>
    </w:p>
    <w:p w14:paraId="4EA789F4" w14:textId="77777777" w:rsidR="00C84C30" w:rsidRPr="0031024F" w:rsidRDefault="00C84C30" w:rsidP="00271A3D">
      <w:pPr>
        <w:jc w:val="both"/>
        <w:rPr>
          <w:b/>
        </w:rPr>
      </w:pPr>
      <w:proofErr w:type="spellStart"/>
      <w:r w:rsidRPr="0031024F">
        <w:rPr>
          <w:b/>
        </w:rPr>
        <w:t>Hexamidin</w:t>
      </w:r>
      <w:proofErr w:type="spellEnd"/>
      <w:r w:rsidRPr="0031024F">
        <w:rPr>
          <w:b/>
        </w:rPr>
        <w:t xml:space="preserve">: </w:t>
      </w:r>
    </w:p>
    <w:p w14:paraId="0C64369A" w14:textId="77777777" w:rsidR="00C84C30" w:rsidRDefault="00C84C30" w:rsidP="00271A3D">
      <w:pPr>
        <w:jc w:val="both"/>
      </w:pPr>
      <w:r>
        <w:t xml:space="preserve">Zur Pharmakokinetik sind nur tierexperimentelle Daten verfügbar. Auf Grundlage der vorliegenden experimentellen Daten kann eine kutane Resorption von </w:t>
      </w:r>
      <w:proofErr w:type="spellStart"/>
      <w:r>
        <w:t>Hexamidin</w:t>
      </w:r>
      <w:proofErr w:type="spellEnd"/>
      <w:r>
        <w:t xml:space="preserve"> nicht sicher ausgeschlossen werden. </w:t>
      </w:r>
    </w:p>
    <w:p w14:paraId="7B8F6711" w14:textId="77777777" w:rsidR="00C84C30" w:rsidRDefault="00C84C30" w:rsidP="00271A3D">
      <w:pPr>
        <w:jc w:val="both"/>
      </w:pPr>
    </w:p>
    <w:p w14:paraId="4771EF10" w14:textId="77777777" w:rsidR="00C84C30" w:rsidRPr="0002176E" w:rsidRDefault="00C84C30" w:rsidP="00271A3D">
      <w:pPr>
        <w:jc w:val="both"/>
        <w:rPr>
          <w:b/>
        </w:rPr>
      </w:pPr>
      <w:r w:rsidRPr="0002176E">
        <w:rPr>
          <w:b/>
        </w:rPr>
        <w:t>Prednisolon</w:t>
      </w:r>
      <w:r w:rsidR="00A97E23">
        <w:rPr>
          <w:b/>
        </w:rPr>
        <w:t>-21-acetat</w:t>
      </w:r>
      <w:r>
        <w:rPr>
          <w:b/>
        </w:rPr>
        <w:t>:</w:t>
      </w:r>
    </w:p>
    <w:p w14:paraId="78ED0443" w14:textId="77777777" w:rsidR="00C84C30" w:rsidRDefault="00C84C30" w:rsidP="00271A3D">
      <w:pPr>
        <w:jc w:val="both"/>
      </w:pPr>
      <w:r w:rsidRPr="00C84C30">
        <w:t xml:space="preserve">Mit der vorliegenden galenischen Formulierung wurden keine Penetrations- und Resorptionsstudien durchgeführt. Aus der Literatur geht hervor, dass </w:t>
      </w:r>
      <w:proofErr w:type="spellStart"/>
      <w:r w:rsidRPr="00C84C30">
        <w:t>Prednisolon</w:t>
      </w:r>
      <w:proofErr w:type="spellEnd"/>
      <w:r w:rsidRPr="00C84C30">
        <w:t xml:space="preserve"> nach Freisetzung aus der </w:t>
      </w:r>
      <w:r w:rsidR="004A4B2A">
        <w:t>Creme</w:t>
      </w:r>
      <w:r w:rsidRPr="00C84C30">
        <w:t xml:space="preserve">grundlage in die Haut diffundiert. Die Penetrationsraten liegen ohne Okklusion im Bereich zwischen 1% und 2%. Bei verminderter Barrierefunktion der Hornschicht, im </w:t>
      </w:r>
      <w:proofErr w:type="spellStart"/>
      <w:r w:rsidRPr="00C84C30">
        <w:t>intertriginösen</w:t>
      </w:r>
      <w:proofErr w:type="spellEnd"/>
      <w:r w:rsidRPr="00C84C30">
        <w:t xml:space="preserve"> Bereich und bei Anwendung von okklusiven Verbänden können sie erhöht sein. Der </w:t>
      </w:r>
      <w:proofErr w:type="spellStart"/>
      <w:r w:rsidRPr="00C84C30">
        <w:t>Permeations</w:t>
      </w:r>
      <w:proofErr w:type="spellEnd"/>
      <w:r w:rsidRPr="00C84C30">
        <w:t xml:space="preserve">- und Penetrationsanteil hängt ab von der Körperregion, dem Zustand der Haut, der galenischen Formulierung (Vehikel), dem Alter und dem Applikationsmodus. Der Wirkstoff wird in den obersten Hautschichten gespeichert und langsam in die Epidermis abgegeben. Dieser Depoteffekt führt zu einer verlängerten Wirkung. Die Metabolisierung und Elimination von </w:t>
      </w:r>
      <w:proofErr w:type="spellStart"/>
      <w:r w:rsidRPr="00C84C30">
        <w:t>Prednisolon</w:t>
      </w:r>
      <w:proofErr w:type="spellEnd"/>
      <w:r w:rsidRPr="00C84C30">
        <w:t xml:space="preserve"> </w:t>
      </w:r>
      <w:proofErr w:type="gramStart"/>
      <w:r w:rsidRPr="00C84C30">
        <w:t>geschieht</w:t>
      </w:r>
      <w:proofErr w:type="gramEnd"/>
      <w:r w:rsidRPr="00C84C30">
        <w:t xml:space="preserve"> grö</w:t>
      </w:r>
      <w:r>
        <w:t>ß</w:t>
      </w:r>
      <w:r w:rsidRPr="00C84C30">
        <w:t>tenteils peripher. Eine Resorption aus dem Hautbereich in die Blutbahn erfolgt im Allgemeinen nur sehr langsam und in kleinsten Mengen. Eine Beeinträchtigung der NNR-Funktion wurde nicht beobachtet.</w:t>
      </w:r>
    </w:p>
    <w:p w14:paraId="37C97B2C" w14:textId="77777777" w:rsidR="00C84C30" w:rsidRDefault="00C84C30" w:rsidP="00C84C30"/>
    <w:p w14:paraId="47871223" w14:textId="77777777" w:rsidR="00E54EA2" w:rsidRDefault="00E54EA2"/>
    <w:p w14:paraId="23CFA9AD" w14:textId="77777777" w:rsidR="00482315" w:rsidRDefault="00482315">
      <w:pPr>
        <w:ind w:left="567" w:hanging="567"/>
      </w:pPr>
      <w:r>
        <w:rPr>
          <w:b/>
        </w:rPr>
        <w:t>5.3</w:t>
      </w:r>
      <w:r>
        <w:rPr>
          <w:b/>
        </w:rPr>
        <w:tab/>
        <w:t>Präklinische Daten zur Sicherheit</w:t>
      </w:r>
    </w:p>
    <w:p w14:paraId="70AD06F8" w14:textId="77777777" w:rsidR="00482315" w:rsidRDefault="00482315"/>
    <w:p w14:paraId="38F14FFB" w14:textId="77777777" w:rsidR="00E54EA2" w:rsidRDefault="00E54EA2" w:rsidP="00271A3D">
      <w:pPr>
        <w:jc w:val="both"/>
      </w:pPr>
      <w:r>
        <w:t>Die therape</w:t>
      </w:r>
      <w:r w:rsidR="00A12FEC">
        <w:t>utische Verwendung von Clotrima</w:t>
      </w:r>
      <w:r>
        <w:t xml:space="preserve">zol, </w:t>
      </w:r>
      <w:proofErr w:type="spellStart"/>
      <w:r>
        <w:t>Hexamidindiisetionat</w:t>
      </w:r>
      <w:proofErr w:type="spellEnd"/>
      <w:r>
        <w:t xml:space="preserve"> und Prednisolon-21-acetat in l</w:t>
      </w:r>
      <w:r w:rsidR="00A12FEC">
        <w:t>okalen antimikrobiellen Präpara</w:t>
      </w:r>
      <w:r>
        <w:t xml:space="preserve">ten kann als </w:t>
      </w:r>
      <w:r w:rsidR="00A12FEC">
        <w:t>toxikologisch unbedenklich ange</w:t>
      </w:r>
      <w:r>
        <w:t>sehen werden. Für Clotrimazol wurden nach oraler Applikation an Nagern, Hunden und Katzen LD50-Werte zwischen 700 und über 2000 mg/kg ermittelt.</w:t>
      </w:r>
    </w:p>
    <w:p w14:paraId="1C961BA4" w14:textId="77777777" w:rsidR="00E54EA2" w:rsidRDefault="00E54EA2" w:rsidP="00271A3D">
      <w:pPr>
        <w:jc w:val="both"/>
      </w:pPr>
    </w:p>
    <w:p w14:paraId="45AF12AF" w14:textId="77777777" w:rsidR="00E54EA2" w:rsidRDefault="00E54EA2" w:rsidP="00271A3D">
      <w:pPr>
        <w:jc w:val="both"/>
      </w:pPr>
      <w:r>
        <w:t xml:space="preserve">Für </w:t>
      </w:r>
      <w:proofErr w:type="spellStart"/>
      <w:r>
        <w:t>Hexamidin</w:t>
      </w:r>
      <w:proofErr w:type="spellEnd"/>
      <w:r w:rsidR="00A12FEC">
        <w:t xml:space="preserve"> (berechnet als freie Base) wur</w:t>
      </w:r>
      <w:r>
        <w:t xml:space="preserve">de die LD50 an der Maus mit 17 mg/kg nach intravenöser bzw. 62 mg/kg nach subkutaner Applikation bestimmt. </w:t>
      </w:r>
    </w:p>
    <w:p w14:paraId="686C8E93" w14:textId="77777777" w:rsidR="00E54EA2" w:rsidRDefault="00E54EA2" w:rsidP="00271A3D">
      <w:pPr>
        <w:jc w:val="both"/>
      </w:pPr>
    </w:p>
    <w:p w14:paraId="27A696CA" w14:textId="77777777" w:rsidR="00E54EA2" w:rsidRDefault="00E54EA2" w:rsidP="00271A3D">
      <w:pPr>
        <w:jc w:val="both"/>
      </w:pPr>
      <w:r>
        <w:t xml:space="preserve">Die lokale Verträglichkeit von Clotrimazol und </w:t>
      </w:r>
      <w:proofErr w:type="spellStart"/>
      <w:r>
        <w:t>Hexamidindiisetionat</w:t>
      </w:r>
      <w:proofErr w:type="spellEnd"/>
      <w:r>
        <w:t xml:space="preserve"> ist sehr gut.</w:t>
      </w:r>
    </w:p>
    <w:p w14:paraId="3CF380C0" w14:textId="77777777" w:rsidR="00E54EA2" w:rsidRDefault="00E54EA2" w:rsidP="00271A3D">
      <w:pPr>
        <w:jc w:val="both"/>
      </w:pPr>
    </w:p>
    <w:p w14:paraId="649F1685" w14:textId="77777777" w:rsidR="00E54EA2" w:rsidRDefault="00E54EA2" w:rsidP="00271A3D">
      <w:pPr>
        <w:jc w:val="both"/>
      </w:pPr>
      <w:r>
        <w:t xml:space="preserve">Für Clotrimazol und </w:t>
      </w:r>
      <w:proofErr w:type="spellStart"/>
      <w:r>
        <w:t>Hexamidindiisetionat</w:t>
      </w:r>
      <w:proofErr w:type="spellEnd"/>
      <w:r>
        <w:t xml:space="preserve"> wurde an d</w:t>
      </w:r>
      <w:r w:rsidR="00A12FEC">
        <w:t>er Konjunktiv</w:t>
      </w:r>
      <w:r w:rsidR="004A4B2A">
        <w:t>a</w:t>
      </w:r>
      <w:r w:rsidR="00A12FEC">
        <w:t>schleimhaut von Ka</w:t>
      </w:r>
      <w:r>
        <w:t>ninchen k</w:t>
      </w:r>
      <w:r w:rsidR="00A12FEC">
        <w:t>eine primäre Reizwirkung festge</w:t>
      </w:r>
      <w:r>
        <w:t>stellt.</w:t>
      </w:r>
    </w:p>
    <w:p w14:paraId="462FE52D" w14:textId="77777777" w:rsidR="00E54EA2" w:rsidRDefault="00E54EA2" w:rsidP="00271A3D">
      <w:pPr>
        <w:jc w:val="both"/>
      </w:pPr>
    </w:p>
    <w:p w14:paraId="3677C8AA" w14:textId="77777777" w:rsidR="00E54EA2" w:rsidRDefault="00E54EA2" w:rsidP="00271A3D">
      <w:pPr>
        <w:jc w:val="both"/>
      </w:pPr>
      <w:r>
        <w:t>Für Prednisolo</w:t>
      </w:r>
      <w:r w:rsidR="00A12FEC">
        <w:t xml:space="preserve">n-21-acetat als </w:t>
      </w:r>
      <w:proofErr w:type="spellStart"/>
      <w:r w:rsidR="00A12FEC">
        <w:t>kortikoide</w:t>
      </w:r>
      <w:proofErr w:type="spellEnd"/>
      <w:r w:rsidR="00A12FEC">
        <w:t xml:space="preserve"> Wirk</w:t>
      </w:r>
      <w:r>
        <w:t>stufe I sind insbesondere bei der empfohlenen Anwendungsdauer (von in der Regel höchstens 1 Wo</w:t>
      </w:r>
      <w:r w:rsidR="00A12FEC">
        <w:t xml:space="preserve">che) weder systemische noch </w:t>
      </w:r>
      <w:proofErr w:type="spellStart"/>
      <w:r w:rsidR="00A12FEC">
        <w:t>kor</w:t>
      </w:r>
      <w:r>
        <w:t>tikoidtypis</w:t>
      </w:r>
      <w:r w:rsidR="00A12FEC">
        <w:t>che</w:t>
      </w:r>
      <w:proofErr w:type="spellEnd"/>
      <w:r w:rsidR="00A12FEC">
        <w:t xml:space="preserve"> lokale Nebenwirkungen zu er</w:t>
      </w:r>
      <w:r>
        <w:t>warten.</w:t>
      </w:r>
    </w:p>
    <w:p w14:paraId="2C59E904" w14:textId="77777777" w:rsidR="00E54EA2" w:rsidRDefault="00E54EA2" w:rsidP="00271A3D">
      <w:pPr>
        <w:jc w:val="both"/>
      </w:pPr>
    </w:p>
    <w:p w14:paraId="104D0E54" w14:textId="77777777" w:rsidR="00E54EA2" w:rsidRDefault="00E54EA2" w:rsidP="00271A3D">
      <w:pPr>
        <w:jc w:val="both"/>
      </w:pPr>
      <w:r>
        <w:t>Allergisch bedingte Hautunvertr</w:t>
      </w:r>
      <w:r w:rsidR="00A12FEC">
        <w:t>äglichkeits</w:t>
      </w:r>
      <w:r>
        <w:t>reaktione</w:t>
      </w:r>
      <w:r w:rsidR="00A12FEC">
        <w:t xml:space="preserve">n auf Clotrimazol, </w:t>
      </w:r>
      <w:proofErr w:type="spellStart"/>
      <w:r w:rsidR="00A12FEC">
        <w:t>Hexamidindii</w:t>
      </w:r>
      <w:r>
        <w:t>setionat</w:t>
      </w:r>
      <w:proofErr w:type="spellEnd"/>
      <w:r>
        <w:t xml:space="preserve"> und Prednisolon-21-acetat wurden trotz jahrelanger breiter Anwendung nur sehr selten beobachtet.</w:t>
      </w:r>
    </w:p>
    <w:p w14:paraId="772B781D" w14:textId="77777777" w:rsidR="00482315" w:rsidRDefault="00482315"/>
    <w:p w14:paraId="59ABFB4D" w14:textId="77777777" w:rsidR="00482315" w:rsidRDefault="00482315">
      <w:pPr>
        <w:ind w:left="567" w:hanging="567"/>
      </w:pPr>
      <w:r>
        <w:rPr>
          <w:b/>
        </w:rPr>
        <w:t>6.</w:t>
      </w:r>
      <w:r>
        <w:rPr>
          <w:b/>
        </w:rPr>
        <w:tab/>
        <w:t>PHARMAZEUTISCHE ANGABEN</w:t>
      </w:r>
    </w:p>
    <w:p w14:paraId="35D4A219" w14:textId="77777777" w:rsidR="00482315" w:rsidRDefault="00482315"/>
    <w:p w14:paraId="395B6CDA" w14:textId="77777777" w:rsidR="00482315" w:rsidRDefault="00482315">
      <w:pPr>
        <w:ind w:left="567" w:hanging="567"/>
      </w:pPr>
      <w:r>
        <w:rPr>
          <w:b/>
        </w:rPr>
        <w:t>6.1</w:t>
      </w:r>
      <w:r>
        <w:rPr>
          <w:b/>
        </w:rPr>
        <w:tab/>
      </w:r>
      <w:r>
        <w:rPr>
          <w:b/>
          <w:noProof/>
        </w:rPr>
        <w:t xml:space="preserve">Liste der sonstigen </w:t>
      </w:r>
      <w:r>
        <w:rPr>
          <w:b/>
        </w:rPr>
        <w:t xml:space="preserve">Bestandteile </w:t>
      </w:r>
    </w:p>
    <w:p w14:paraId="036BC3E3" w14:textId="77777777" w:rsidR="00482315" w:rsidRDefault="00482315"/>
    <w:p w14:paraId="58468307" w14:textId="77777777" w:rsidR="00482315" w:rsidRDefault="00E54EA2" w:rsidP="00271A3D">
      <w:pPr>
        <w:jc w:val="both"/>
      </w:pPr>
      <w:proofErr w:type="spellStart"/>
      <w:r w:rsidRPr="00E54EA2">
        <w:rPr>
          <w:szCs w:val="24"/>
        </w:rPr>
        <w:t>Butylhydroxyanisol</w:t>
      </w:r>
      <w:proofErr w:type="spellEnd"/>
      <w:r w:rsidRPr="00E54EA2">
        <w:rPr>
          <w:szCs w:val="24"/>
        </w:rPr>
        <w:t xml:space="preserve"> (</w:t>
      </w:r>
      <w:proofErr w:type="spellStart"/>
      <w:r w:rsidRPr="00E54EA2">
        <w:rPr>
          <w:szCs w:val="24"/>
        </w:rPr>
        <w:t>Ph</w:t>
      </w:r>
      <w:proofErr w:type="spellEnd"/>
      <w:r w:rsidRPr="00E54EA2">
        <w:rPr>
          <w:szCs w:val="24"/>
        </w:rPr>
        <w:t xml:space="preserve">. Eur.), </w:t>
      </w:r>
      <w:proofErr w:type="spellStart"/>
      <w:r w:rsidRPr="00E54EA2">
        <w:rPr>
          <w:szCs w:val="24"/>
        </w:rPr>
        <w:t>Dimeticon</w:t>
      </w:r>
      <w:proofErr w:type="spellEnd"/>
      <w:r w:rsidRPr="00E54EA2">
        <w:rPr>
          <w:szCs w:val="24"/>
        </w:rPr>
        <w:t xml:space="preserve">, </w:t>
      </w:r>
      <w:proofErr w:type="spellStart"/>
      <w:r w:rsidRPr="00E54EA2">
        <w:rPr>
          <w:szCs w:val="24"/>
        </w:rPr>
        <w:t>Natriumedetat</w:t>
      </w:r>
      <w:proofErr w:type="spellEnd"/>
      <w:r w:rsidRPr="00E54EA2">
        <w:rPr>
          <w:szCs w:val="24"/>
        </w:rPr>
        <w:t xml:space="preserve"> (</w:t>
      </w:r>
      <w:proofErr w:type="spellStart"/>
      <w:r w:rsidRPr="00E54EA2">
        <w:rPr>
          <w:szCs w:val="24"/>
        </w:rPr>
        <w:t>Ph</w:t>
      </w:r>
      <w:proofErr w:type="spellEnd"/>
      <w:r w:rsidRPr="00E54EA2">
        <w:rPr>
          <w:szCs w:val="24"/>
        </w:rPr>
        <w:t xml:space="preserve">. Eur.), dickflüssiges Paraffin, </w:t>
      </w:r>
      <w:proofErr w:type="spellStart"/>
      <w:r w:rsidRPr="00E54EA2">
        <w:rPr>
          <w:szCs w:val="24"/>
        </w:rPr>
        <w:t>Octy</w:t>
      </w:r>
      <w:r w:rsidR="00A12FEC">
        <w:rPr>
          <w:szCs w:val="24"/>
        </w:rPr>
        <w:t>ldodecanol</w:t>
      </w:r>
      <w:proofErr w:type="spellEnd"/>
      <w:r w:rsidR="00A12FEC">
        <w:rPr>
          <w:szCs w:val="24"/>
        </w:rPr>
        <w:t xml:space="preserve"> (</w:t>
      </w:r>
      <w:proofErr w:type="spellStart"/>
      <w:r w:rsidR="00A12FEC">
        <w:rPr>
          <w:szCs w:val="24"/>
        </w:rPr>
        <w:t>Ph</w:t>
      </w:r>
      <w:proofErr w:type="spellEnd"/>
      <w:r w:rsidR="00A12FEC">
        <w:rPr>
          <w:szCs w:val="24"/>
        </w:rPr>
        <w:t xml:space="preserve">. Eur.), </w:t>
      </w:r>
      <w:proofErr w:type="spellStart"/>
      <w:r w:rsidR="00A12FEC">
        <w:rPr>
          <w:szCs w:val="24"/>
        </w:rPr>
        <w:t>Poly</w:t>
      </w:r>
      <w:proofErr w:type="spellEnd"/>
      <w:r w:rsidR="00A12FEC">
        <w:rPr>
          <w:szCs w:val="24"/>
        </w:rPr>
        <w:t>(oxy-</w:t>
      </w:r>
      <w:proofErr w:type="spellStart"/>
      <w:proofErr w:type="gramStart"/>
      <w:r w:rsidRPr="00E54EA2">
        <w:rPr>
          <w:szCs w:val="24"/>
        </w:rPr>
        <w:t>ethylen</w:t>
      </w:r>
      <w:proofErr w:type="spellEnd"/>
      <w:r w:rsidRPr="00E54EA2">
        <w:rPr>
          <w:szCs w:val="24"/>
        </w:rPr>
        <w:t>)-</w:t>
      </w:r>
      <w:proofErr w:type="gramEnd"/>
      <w:r w:rsidRPr="00E54EA2">
        <w:rPr>
          <w:szCs w:val="24"/>
        </w:rPr>
        <w:t>6-glycerol-mono/</w:t>
      </w:r>
      <w:proofErr w:type="spellStart"/>
      <w:r w:rsidRPr="00E54EA2">
        <w:rPr>
          <w:szCs w:val="24"/>
        </w:rPr>
        <w:t>dialkanoat</w:t>
      </w:r>
      <w:proofErr w:type="spellEnd"/>
      <w:r w:rsidR="00570999">
        <w:rPr>
          <w:szCs w:val="24"/>
        </w:rPr>
        <w:t xml:space="preserve"> </w:t>
      </w:r>
      <w:r w:rsidRPr="00E54EA2">
        <w:rPr>
          <w:szCs w:val="24"/>
        </w:rPr>
        <w:t>(C12-C18), Polyethylenglycol-1500-mono/</w:t>
      </w:r>
      <w:proofErr w:type="spellStart"/>
      <w:r w:rsidRPr="00E54EA2">
        <w:rPr>
          <w:szCs w:val="24"/>
        </w:rPr>
        <w:t>distearat</w:t>
      </w:r>
      <w:proofErr w:type="spellEnd"/>
      <w:r w:rsidRPr="00E54EA2">
        <w:rPr>
          <w:szCs w:val="24"/>
        </w:rPr>
        <w:t>, Citronensäure-Monohydrat, Natriumhydroxid, gereinigtes Wasser.</w:t>
      </w:r>
    </w:p>
    <w:p w14:paraId="241D79CA" w14:textId="77777777" w:rsidR="00482315" w:rsidRDefault="00482315"/>
    <w:p w14:paraId="19D5F07C" w14:textId="77777777" w:rsidR="00482315" w:rsidRDefault="00482315">
      <w:pPr>
        <w:ind w:left="567" w:hanging="567"/>
      </w:pPr>
      <w:r>
        <w:rPr>
          <w:b/>
        </w:rPr>
        <w:t>6.2</w:t>
      </w:r>
      <w:r>
        <w:rPr>
          <w:b/>
        </w:rPr>
        <w:tab/>
        <w:t>Inkompatibilitäten</w:t>
      </w:r>
    </w:p>
    <w:p w14:paraId="3F777E11" w14:textId="77777777" w:rsidR="00482315" w:rsidRDefault="00482315"/>
    <w:p w14:paraId="662C34C8" w14:textId="77777777" w:rsidR="00482315" w:rsidRDefault="003C11BF">
      <w:proofErr w:type="gramStart"/>
      <w:r>
        <w:t>Nicht zutreffend</w:t>
      </w:r>
      <w:proofErr w:type="gramEnd"/>
      <w:r>
        <w:t>.</w:t>
      </w:r>
    </w:p>
    <w:p w14:paraId="48F1B7FE" w14:textId="77777777" w:rsidR="00482315" w:rsidRDefault="00482315"/>
    <w:p w14:paraId="7C2C7538" w14:textId="77777777" w:rsidR="00482315" w:rsidRDefault="00482315">
      <w:pPr>
        <w:ind w:left="567" w:hanging="567"/>
      </w:pPr>
      <w:r>
        <w:rPr>
          <w:b/>
        </w:rPr>
        <w:t>6.3</w:t>
      </w:r>
      <w:r>
        <w:rPr>
          <w:b/>
        </w:rPr>
        <w:tab/>
        <w:t>Dauer der Haltbarkeit</w:t>
      </w:r>
    </w:p>
    <w:p w14:paraId="5099DF67" w14:textId="77777777" w:rsidR="00482315" w:rsidRDefault="00482315"/>
    <w:p w14:paraId="3A1C4836" w14:textId="77777777" w:rsidR="00482315" w:rsidRDefault="00482315">
      <w:r>
        <w:t>2 Jahre</w:t>
      </w:r>
    </w:p>
    <w:p w14:paraId="6A0B18A1" w14:textId="77777777" w:rsidR="00713CE0" w:rsidRPr="007E4565" w:rsidRDefault="00713CE0" w:rsidP="00271A3D">
      <w:pPr>
        <w:jc w:val="both"/>
        <w:rPr>
          <w:noProof/>
        </w:rPr>
      </w:pPr>
      <w:r w:rsidRPr="0002176E">
        <w:rPr>
          <w:noProof/>
        </w:rPr>
        <w:t xml:space="preserve">Nach Anbruch </w:t>
      </w:r>
      <w:r w:rsidR="00AB0DA5">
        <w:rPr>
          <w:noProof/>
        </w:rPr>
        <w:t xml:space="preserve">der Tube </w:t>
      </w:r>
      <w:r w:rsidRPr="0002176E">
        <w:rPr>
          <w:noProof/>
        </w:rPr>
        <w:t>sollte die Creme nicht länger als 1 Monat verwendet werden.</w:t>
      </w:r>
    </w:p>
    <w:p w14:paraId="46BCD099" w14:textId="77777777" w:rsidR="00482315" w:rsidRPr="003410FA" w:rsidRDefault="00482315">
      <w:pPr>
        <w:pStyle w:val="En-tte"/>
        <w:tabs>
          <w:tab w:val="clear" w:pos="4320"/>
          <w:tab w:val="clear" w:pos="8640"/>
        </w:tabs>
      </w:pPr>
    </w:p>
    <w:p w14:paraId="549B5DF0" w14:textId="77777777" w:rsidR="00482315" w:rsidRPr="000B55E8" w:rsidRDefault="00482315">
      <w:pPr>
        <w:ind w:left="567" w:hanging="567"/>
      </w:pPr>
      <w:r w:rsidRPr="00AF6649">
        <w:rPr>
          <w:b/>
        </w:rPr>
        <w:t>6.4</w:t>
      </w:r>
      <w:r w:rsidRPr="00AF6649">
        <w:rPr>
          <w:b/>
        </w:rPr>
        <w:tab/>
      </w:r>
      <w:r w:rsidRPr="000B55E8">
        <w:rPr>
          <w:b/>
          <w:noProof/>
        </w:rPr>
        <w:t>Besondere Vorsichtsmaßnahmen für die Aufbewahrung</w:t>
      </w:r>
    </w:p>
    <w:p w14:paraId="676FB0A7" w14:textId="77777777" w:rsidR="00482315" w:rsidRPr="0002176E" w:rsidRDefault="00482315"/>
    <w:p w14:paraId="42D8E929" w14:textId="77777777" w:rsidR="00E54EA2" w:rsidRPr="007E4565" w:rsidRDefault="00E54EA2" w:rsidP="00E54EA2">
      <w:pPr>
        <w:rPr>
          <w:noProof/>
        </w:rPr>
      </w:pPr>
      <w:r w:rsidRPr="007E4565">
        <w:rPr>
          <w:noProof/>
        </w:rPr>
        <w:t>Nicht über 25 °C lagern.</w:t>
      </w:r>
    </w:p>
    <w:p w14:paraId="1675925A" w14:textId="77777777" w:rsidR="00E54EA2" w:rsidRDefault="00E54EA2" w:rsidP="00E54EA2"/>
    <w:p w14:paraId="377C52F9" w14:textId="77777777" w:rsidR="00482315" w:rsidRPr="00B00BD8" w:rsidRDefault="00482315">
      <w:pPr>
        <w:suppressLineNumbers/>
        <w:outlineLvl w:val="0"/>
        <w:rPr>
          <w:b/>
        </w:rPr>
      </w:pPr>
      <w:r>
        <w:rPr>
          <w:b/>
        </w:rPr>
        <w:t>6.5</w:t>
      </w:r>
      <w:r>
        <w:rPr>
          <w:b/>
        </w:rPr>
        <w:tab/>
        <w:t xml:space="preserve">Art und Inhalt des Behältnisses </w:t>
      </w:r>
    </w:p>
    <w:p w14:paraId="3787F0DA" w14:textId="77777777" w:rsidR="00482315" w:rsidRDefault="00482315">
      <w:pPr>
        <w:ind w:left="567" w:hanging="567"/>
      </w:pPr>
    </w:p>
    <w:p w14:paraId="752F9F3A" w14:textId="77777777" w:rsidR="00482315" w:rsidRDefault="00E54EA2">
      <w:r w:rsidRPr="00E54EA2">
        <w:t>Tube mit 20</w:t>
      </w:r>
      <w:r w:rsidR="00F258ED">
        <w:t xml:space="preserve"> </w:t>
      </w:r>
      <w:r w:rsidRPr="00E54EA2">
        <w:t>g Creme</w:t>
      </w:r>
    </w:p>
    <w:p w14:paraId="3EFC7193" w14:textId="77777777" w:rsidR="00482315" w:rsidRDefault="00482315">
      <w:pPr>
        <w:ind w:left="567" w:hanging="567"/>
        <w:rPr>
          <w:b/>
        </w:rPr>
      </w:pPr>
    </w:p>
    <w:p w14:paraId="759DF7D4" w14:textId="77777777" w:rsidR="00482315" w:rsidRDefault="00482315">
      <w:pPr>
        <w:ind w:left="567" w:hanging="567"/>
        <w:rPr>
          <w:b/>
          <w:noProof/>
        </w:rPr>
      </w:pPr>
      <w:r>
        <w:rPr>
          <w:b/>
        </w:rPr>
        <w:t>6.6</w:t>
      </w:r>
      <w:r>
        <w:rPr>
          <w:b/>
        </w:rPr>
        <w:tab/>
      </w:r>
      <w:r>
        <w:rPr>
          <w:b/>
          <w:noProof/>
        </w:rPr>
        <w:t xml:space="preserve">Besondere Vorsichtsmaßnahmen für die Beseitigung </w:t>
      </w:r>
    </w:p>
    <w:p w14:paraId="483981A4" w14:textId="77777777" w:rsidR="00482315" w:rsidRDefault="00482315"/>
    <w:p w14:paraId="612F53B5" w14:textId="77777777" w:rsidR="00482315" w:rsidRPr="00B31568" w:rsidRDefault="00B31568">
      <w:r w:rsidRPr="00B31568">
        <w:t>Keine besonderen Anforderungen.</w:t>
      </w:r>
    </w:p>
    <w:p w14:paraId="6FAB2C81" w14:textId="77777777" w:rsidR="00482315" w:rsidRDefault="00482315"/>
    <w:p w14:paraId="14D74455" w14:textId="77777777" w:rsidR="00482315" w:rsidRDefault="00482315">
      <w:pPr>
        <w:ind w:left="567" w:hanging="567"/>
      </w:pPr>
      <w:r>
        <w:rPr>
          <w:b/>
        </w:rPr>
        <w:t>7.</w:t>
      </w:r>
      <w:r>
        <w:rPr>
          <w:b/>
        </w:rPr>
        <w:tab/>
      </w:r>
      <w:r>
        <w:rPr>
          <w:b/>
          <w:noProof/>
        </w:rPr>
        <w:t>INHABER DER ZULASSUNG</w:t>
      </w:r>
    </w:p>
    <w:p w14:paraId="216520E9" w14:textId="77777777" w:rsidR="00482315" w:rsidRDefault="00482315"/>
    <w:p w14:paraId="3FAC4EAE" w14:textId="77777777" w:rsidR="003C615A" w:rsidRPr="00415F09" w:rsidRDefault="003C615A" w:rsidP="003C615A">
      <w:pPr>
        <w:rPr>
          <w:lang w:val="fr-LU"/>
        </w:rPr>
      </w:pPr>
      <w:r w:rsidRPr="00415F09">
        <w:rPr>
          <w:lang w:val="fr-LU"/>
        </w:rPr>
        <w:t>Laboratoires Bailleul S.A.</w:t>
      </w:r>
    </w:p>
    <w:p w14:paraId="5053405A" w14:textId="2789DCE2" w:rsidR="003C615A" w:rsidRPr="00415F09" w:rsidRDefault="003C615A" w:rsidP="003C615A">
      <w:pPr>
        <w:rPr>
          <w:lang w:val="fr-LU"/>
        </w:rPr>
      </w:pPr>
      <w:r w:rsidRPr="00415F09">
        <w:rPr>
          <w:lang w:val="fr-LU"/>
        </w:rPr>
        <w:t>1</w:t>
      </w:r>
      <w:r w:rsidR="00271A3D" w:rsidRPr="00415F09">
        <w:rPr>
          <w:lang w:val="fr-LU"/>
        </w:rPr>
        <w:t>4</w:t>
      </w:r>
      <w:r w:rsidRPr="00415F09">
        <w:rPr>
          <w:lang w:val="fr-LU"/>
        </w:rPr>
        <w:t>-1</w:t>
      </w:r>
      <w:r w:rsidR="00271A3D" w:rsidRPr="00415F09">
        <w:rPr>
          <w:lang w:val="fr-LU"/>
        </w:rPr>
        <w:t>6</w:t>
      </w:r>
      <w:r w:rsidRPr="00415F09">
        <w:rPr>
          <w:lang w:val="fr-LU"/>
        </w:rPr>
        <w:t xml:space="preserve"> Avenue Pasteur</w:t>
      </w:r>
    </w:p>
    <w:p w14:paraId="24D8A00D" w14:textId="77777777" w:rsidR="003C615A" w:rsidRPr="007428D1" w:rsidRDefault="003C615A" w:rsidP="003C615A">
      <w:r w:rsidRPr="007428D1">
        <w:t>L-2310 Luxembourg</w:t>
      </w:r>
    </w:p>
    <w:p w14:paraId="2580E705" w14:textId="77777777" w:rsidR="003C615A" w:rsidRPr="005F4D85" w:rsidRDefault="003C615A" w:rsidP="003C615A">
      <w:r w:rsidRPr="007428D1">
        <w:t>LUXEMBURG</w:t>
      </w:r>
    </w:p>
    <w:p w14:paraId="5D2B6B8E" w14:textId="77777777" w:rsidR="00B31568" w:rsidRPr="0002176E" w:rsidRDefault="00B31568" w:rsidP="00B31568"/>
    <w:p w14:paraId="65C9FE06" w14:textId="77777777" w:rsidR="00482315" w:rsidRDefault="00482315">
      <w:pPr>
        <w:ind w:left="567" w:hanging="567"/>
        <w:rPr>
          <w:b/>
        </w:rPr>
      </w:pPr>
      <w:r>
        <w:rPr>
          <w:b/>
        </w:rPr>
        <w:t>8.</w:t>
      </w:r>
      <w:r>
        <w:rPr>
          <w:b/>
        </w:rPr>
        <w:tab/>
        <w:t>ZULASSUNGSNUMMER</w:t>
      </w:r>
    </w:p>
    <w:p w14:paraId="11232B69" w14:textId="77777777" w:rsidR="00271A3D" w:rsidRDefault="00271A3D">
      <w:pPr>
        <w:ind w:left="567" w:hanging="567"/>
      </w:pPr>
    </w:p>
    <w:p w14:paraId="0D451EF5" w14:textId="77777777" w:rsidR="00482315" w:rsidRDefault="00B31568">
      <w:r w:rsidRPr="00B31568">
        <w:t>49824.00.00</w:t>
      </w:r>
    </w:p>
    <w:p w14:paraId="2FC15F3E" w14:textId="77777777" w:rsidR="00482315" w:rsidRDefault="00482315"/>
    <w:p w14:paraId="286F96E1" w14:textId="77777777" w:rsidR="00482315" w:rsidRDefault="00482315">
      <w:pPr>
        <w:ind w:left="567" w:hanging="567"/>
      </w:pPr>
      <w:r>
        <w:rPr>
          <w:b/>
        </w:rPr>
        <w:t>9.</w:t>
      </w:r>
      <w:r>
        <w:rPr>
          <w:b/>
        </w:rPr>
        <w:tab/>
        <w:t xml:space="preserve">DATUM DER </w:t>
      </w:r>
      <w:r>
        <w:rPr>
          <w:b/>
          <w:noProof/>
        </w:rPr>
        <w:t xml:space="preserve">ERTEILUNG DER </w:t>
      </w:r>
      <w:r>
        <w:rPr>
          <w:b/>
        </w:rPr>
        <w:t>ZULASSUNG</w:t>
      </w:r>
      <w:r w:rsidR="00090D10">
        <w:rPr>
          <w:b/>
        </w:rPr>
        <w:t>/VERLÄNGERUNG DER ZULASSUNG</w:t>
      </w:r>
    </w:p>
    <w:p w14:paraId="5BFC08E8" w14:textId="77777777" w:rsidR="00482315" w:rsidRDefault="00482315"/>
    <w:p w14:paraId="6EEE9DF2" w14:textId="77777777" w:rsidR="00482315" w:rsidRDefault="00090D10">
      <w:pPr>
        <w:rPr>
          <w:szCs w:val="24"/>
        </w:rPr>
      </w:pPr>
      <w:r>
        <w:rPr>
          <w:szCs w:val="24"/>
        </w:rPr>
        <w:t xml:space="preserve">Datum der Erteilung der Zulassung </w:t>
      </w:r>
      <w:r w:rsidR="00B31568">
        <w:rPr>
          <w:szCs w:val="24"/>
        </w:rPr>
        <w:t>9. Juli 2003</w:t>
      </w:r>
    </w:p>
    <w:p w14:paraId="532E3BCF" w14:textId="77777777" w:rsidR="00090D10" w:rsidRDefault="00090D10">
      <w:r>
        <w:rPr>
          <w:szCs w:val="24"/>
        </w:rPr>
        <w:t>Datum der Verlängerung der Zulassung 27. August 2013</w:t>
      </w:r>
    </w:p>
    <w:p w14:paraId="2FB94772" w14:textId="77777777" w:rsidR="00482315" w:rsidRDefault="00482315"/>
    <w:p w14:paraId="71F6B2AF" w14:textId="77777777" w:rsidR="00482315" w:rsidRDefault="00482315">
      <w:pPr>
        <w:ind w:left="567" w:hanging="567"/>
        <w:rPr>
          <w:b/>
        </w:rPr>
      </w:pPr>
      <w:r>
        <w:rPr>
          <w:b/>
        </w:rPr>
        <w:t>10.</w:t>
      </w:r>
      <w:r>
        <w:rPr>
          <w:b/>
        </w:rPr>
        <w:tab/>
        <w:t>STAND DER INFORMATION</w:t>
      </w:r>
    </w:p>
    <w:p w14:paraId="2031CE59" w14:textId="77777777" w:rsidR="00482315" w:rsidRDefault="00482315">
      <w:pPr>
        <w:rPr>
          <w:i/>
          <w:iCs/>
        </w:rPr>
      </w:pPr>
    </w:p>
    <w:p w14:paraId="13FBE244" w14:textId="5F64F896" w:rsidR="00C060BC" w:rsidRPr="004810DB" w:rsidRDefault="00992DC7">
      <w:pPr>
        <w:rPr>
          <w:iCs/>
        </w:rPr>
      </w:pPr>
      <w:r>
        <w:rPr>
          <w:iCs/>
        </w:rPr>
        <w:t>06/</w:t>
      </w:r>
      <w:r w:rsidR="00C060BC">
        <w:rPr>
          <w:iCs/>
        </w:rPr>
        <w:t>2024</w:t>
      </w:r>
    </w:p>
    <w:p w14:paraId="4123F663" w14:textId="77777777" w:rsidR="0016084D" w:rsidRDefault="0016084D"/>
    <w:p w14:paraId="1BB009D6" w14:textId="77777777" w:rsidR="00482315" w:rsidRDefault="00A91CB7" w:rsidP="00A91CB7">
      <w:pPr>
        <w:rPr>
          <w:b/>
          <w:iCs/>
        </w:rPr>
      </w:pPr>
      <w:r>
        <w:rPr>
          <w:b/>
          <w:iCs/>
        </w:rPr>
        <w:t>11.</w:t>
      </w:r>
      <w:r>
        <w:rPr>
          <w:b/>
          <w:iCs/>
        </w:rPr>
        <w:tab/>
      </w:r>
      <w:r w:rsidR="00090D10">
        <w:rPr>
          <w:b/>
          <w:iCs/>
        </w:rPr>
        <w:t>VERKAUFSABGRENZUNG</w:t>
      </w:r>
    </w:p>
    <w:p w14:paraId="4B76105D" w14:textId="77777777" w:rsidR="00271A3D" w:rsidRDefault="00271A3D" w:rsidP="00A91CB7">
      <w:pPr>
        <w:rPr>
          <w:b/>
          <w:iCs/>
        </w:rPr>
      </w:pPr>
    </w:p>
    <w:p w14:paraId="0B5E8D6A" w14:textId="77777777" w:rsidR="00A91CB7" w:rsidRPr="00A91CB7" w:rsidRDefault="00A91CB7" w:rsidP="00A91CB7">
      <w:pPr>
        <w:rPr>
          <w:iCs/>
        </w:rPr>
      </w:pPr>
      <w:r>
        <w:rPr>
          <w:iCs/>
        </w:rPr>
        <w:t>Verschreibungspflichtig</w:t>
      </w:r>
    </w:p>
    <w:sectPr w:rsidR="00A91CB7" w:rsidRPr="00A91CB7">
      <w:headerReference w:type="even" r:id="rId8"/>
      <w:headerReference w:type="default" r:id="rId9"/>
      <w:footerReference w:type="even" r:id="rId10"/>
      <w:footerReference w:type="default" r:id="rId11"/>
      <w:headerReference w:type="first" r:id="rId12"/>
      <w:footerReference w:type="first" r:id="rId13"/>
      <w:pgSz w:w="11901"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34D6" w14:textId="77777777" w:rsidR="00401270" w:rsidRDefault="00401270">
      <w:r>
        <w:separator/>
      </w:r>
    </w:p>
  </w:endnote>
  <w:endnote w:type="continuationSeparator" w:id="0">
    <w:p w14:paraId="72D8FB75" w14:textId="77777777" w:rsidR="00401270" w:rsidRDefault="0040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C27A" w14:textId="77777777" w:rsidR="001F275D" w:rsidRDefault="001F27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33C0" w14:textId="77777777" w:rsidR="00482315" w:rsidRDefault="00482315">
    <w:pPr>
      <w:pStyle w:val="Pieddepage"/>
      <w:jc w:val="center"/>
    </w:pPr>
    <w:r>
      <w:fldChar w:fldCharType="begin"/>
    </w:r>
    <w:r>
      <w:instrText xml:space="preserve"> EQ </w:instrText>
    </w:r>
    <w:r>
      <w:fldChar w:fldCharType="end"/>
    </w:r>
    <w:r w:rsidRPr="0089197E">
      <w:rPr>
        <w:rStyle w:val="Numrodepage"/>
        <w:rFonts w:ascii="Arial" w:hAnsi="Arial" w:cs="Arial"/>
      </w:rPr>
      <w:fldChar w:fldCharType="begin"/>
    </w:r>
    <w:r w:rsidRPr="0089197E">
      <w:rPr>
        <w:rStyle w:val="Numrodepage"/>
        <w:rFonts w:ascii="Arial" w:hAnsi="Arial" w:cs="Arial"/>
      </w:rPr>
      <w:instrText xml:space="preserve">PAGE  </w:instrText>
    </w:r>
    <w:r w:rsidRPr="0089197E">
      <w:rPr>
        <w:rStyle w:val="Numrodepage"/>
        <w:rFonts w:ascii="Arial" w:hAnsi="Arial" w:cs="Arial"/>
      </w:rPr>
      <w:fldChar w:fldCharType="separate"/>
    </w:r>
    <w:r w:rsidR="009E6779">
      <w:rPr>
        <w:rStyle w:val="Numrodepage"/>
        <w:rFonts w:ascii="Arial" w:hAnsi="Arial" w:cs="Arial"/>
        <w:noProof/>
      </w:rPr>
      <w:t>6</w:t>
    </w:r>
    <w:r w:rsidRPr="0089197E">
      <w:rPr>
        <w:rStyle w:val="Numrodepage"/>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3F2A" w14:textId="77777777" w:rsidR="00482315" w:rsidRDefault="00482315">
    <w:pPr>
      <w:pStyle w:val="Pieddepage"/>
      <w:jc w:val="center"/>
    </w:pPr>
    <w:r>
      <w:fldChar w:fldCharType="begin"/>
    </w:r>
    <w:r>
      <w:instrText xml:space="preserve"> EQ </w:instrText>
    </w:r>
    <w:r>
      <w:fldChar w:fldCharType="end"/>
    </w:r>
    <w:r>
      <w:rPr>
        <w:rStyle w:val="Numrodepage"/>
        <w:rFonts w:ascii="Arial" w:hAnsi="Arial" w:cs="Arial"/>
      </w:rPr>
      <w:fldChar w:fldCharType="begin"/>
    </w:r>
    <w:r>
      <w:rPr>
        <w:rStyle w:val="Numrodepage"/>
        <w:rFonts w:ascii="Arial" w:hAnsi="Arial" w:cs="Arial"/>
      </w:rPr>
      <w:instrText xml:space="preserve">PAGE  </w:instrText>
    </w:r>
    <w:r>
      <w:rPr>
        <w:rStyle w:val="Numrodepage"/>
        <w:rFonts w:ascii="Arial" w:hAnsi="Arial" w:cs="Arial"/>
      </w:rPr>
      <w:fldChar w:fldCharType="separate"/>
    </w:r>
    <w:r w:rsidR="009E6779">
      <w:rPr>
        <w:rStyle w:val="Numrodepage"/>
        <w:rFonts w:ascii="Arial" w:hAnsi="Arial" w:cs="Arial"/>
        <w:noProof/>
      </w:rPr>
      <w:t>1</w:t>
    </w:r>
    <w:r>
      <w:rPr>
        <w:rStyle w:val="Numrodepage"/>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A371" w14:textId="77777777" w:rsidR="00401270" w:rsidRDefault="00401270">
      <w:r>
        <w:separator/>
      </w:r>
    </w:p>
  </w:footnote>
  <w:footnote w:type="continuationSeparator" w:id="0">
    <w:p w14:paraId="0E982CA0" w14:textId="77777777" w:rsidR="00401270" w:rsidRDefault="0040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ACEF" w14:textId="77777777" w:rsidR="001F275D" w:rsidRDefault="001F27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FD92" w14:textId="77777777" w:rsidR="001F275D" w:rsidRDefault="001F27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B9CC" w14:textId="77777777" w:rsidR="001F275D" w:rsidRDefault="001F27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6809B1"/>
    <w:multiLevelType w:val="multilevel"/>
    <w:tmpl w:val="FFFFFFFF"/>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3" w15:restartNumberingAfterBreak="0">
    <w:nsid w:val="2D6A670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68E30D3"/>
    <w:multiLevelType w:val="multilevel"/>
    <w:tmpl w:val="FFFFFFFF"/>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B9909EF"/>
    <w:multiLevelType w:val="multilevel"/>
    <w:tmpl w:val="FFFFFFFF"/>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5AAF4295"/>
    <w:multiLevelType w:val="multilevel"/>
    <w:tmpl w:val="FFFFFFFF"/>
    <w:lvl w:ilvl="0">
      <w:start w:val="4"/>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68247730"/>
    <w:multiLevelType w:val="singleLevel"/>
    <w:tmpl w:val="FFFFFFFF"/>
    <w:lvl w:ilvl="0">
      <w:start w:val="5"/>
      <w:numFmt w:val="decimal"/>
      <w:lvlText w:val="%1."/>
      <w:lvlJc w:val="left"/>
      <w:pPr>
        <w:tabs>
          <w:tab w:val="num" w:pos="570"/>
        </w:tabs>
        <w:ind w:left="570" w:hanging="570"/>
      </w:pPr>
      <w:rPr>
        <w:rFonts w:cs="Times New Roman" w:hint="default"/>
      </w:rPr>
    </w:lvl>
  </w:abstractNum>
  <w:abstractNum w:abstractNumId="10"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6D941758"/>
    <w:multiLevelType w:val="singleLevel"/>
    <w:tmpl w:val="FFFFFFFF"/>
    <w:lvl w:ilvl="0">
      <w:start w:val="1"/>
      <w:numFmt w:val="decimal"/>
      <w:lvlText w:val="%1."/>
      <w:lvlJc w:val="left"/>
      <w:pPr>
        <w:tabs>
          <w:tab w:val="num" w:pos="360"/>
        </w:tabs>
        <w:ind w:left="360" w:hanging="360"/>
      </w:pPr>
      <w:rPr>
        <w:rFonts w:cs="Times New Roman" w:hint="default"/>
        <w:b/>
      </w:rPr>
    </w:lvl>
  </w:abstractNum>
  <w:num w:numId="1" w16cid:durableId="1719163277">
    <w:abstractNumId w:val="0"/>
    <w:lvlOverride w:ilvl="0">
      <w:lvl w:ilvl="0">
        <w:start w:val="1"/>
        <w:numFmt w:val="bullet"/>
        <w:lvlText w:val="-"/>
        <w:legacy w:legacy="1" w:legacySpace="0" w:legacyIndent="360"/>
        <w:lvlJc w:val="left"/>
        <w:pPr>
          <w:ind w:left="360" w:hanging="360"/>
        </w:pPr>
      </w:lvl>
    </w:lvlOverride>
  </w:num>
  <w:num w:numId="2" w16cid:durableId="9640482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12666409">
    <w:abstractNumId w:val="11"/>
  </w:num>
  <w:num w:numId="4" w16cid:durableId="717317628">
    <w:abstractNumId w:val="10"/>
  </w:num>
  <w:num w:numId="5" w16cid:durableId="936642441">
    <w:abstractNumId w:val="3"/>
  </w:num>
  <w:num w:numId="6" w16cid:durableId="1387408755">
    <w:abstractNumId w:val="7"/>
  </w:num>
  <w:num w:numId="7" w16cid:durableId="1506555945">
    <w:abstractNumId w:val="6"/>
  </w:num>
  <w:num w:numId="8" w16cid:durableId="1022511417">
    <w:abstractNumId w:val="2"/>
  </w:num>
  <w:num w:numId="9" w16cid:durableId="1520974156">
    <w:abstractNumId w:val="9"/>
  </w:num>
  <w:num w:numId="10" w16cid:durableId="1503206378">
    <w:abstractNumId w:val="1"/>
  </w:num>
  <w:num w:numId="11" w16cid:durableId="605191754">
    <w:abstractNumId w:val="5"/>
  </w:num>
  <w:num w:numId="12" w16cid:durableId="1133525272">
    <w:abstractNumId w:val="8"/>
  </w:num>
  <w:num w:numId="13" w16cid:durableId="228468233">
    <w:abstractNumId w:val="4"/>
  </w:num>
  <w:num w:numId="14" w16cid:durableId="1613316218">
    <w:abstractNumId w:val="0"/>
    <w:lvlOverride w:ilvl="0">
      <w:lvl w:ilvl="0">
        <w:start w:val="1"/>
        <w:numFmt w:val="bullet"/>
        <w:lvlText w:val="-"/>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482315"/>
    <w:rsid w:val="0000103C"/>
    <w:rsid w:val="00007B7B"/>
    <w:rsid w:val="00010157"/>
    <w:rsid w:val="0002176E"/>
    <w:rsid w:val="0003028E"/>
    <w:rsid w:val="00031F05"/>
    <w:rsid w:val="000375C8"/>
    <w:rsid w:val="000457BB"/>
    <w:rsid w:val="00090D10"/>
    <w:rsid w:val="000B0531"/>
    <w:rsid w:val="000B55E8"/>
    <w:rsid w:val="000E3912"/>
    <w:rsid w:val="00107D32"/>
    <w:rsid w:val="00117159"/>
    <w:rsid w:val="00121844"/>
    <w:rsid w:val="0012406B"/>
    <w:rsid w:val="001270FE"/>
    <w:rsid w:val="00141B77"/>
    <w:rsid w:val="001425A7"/>
    <w:rsid w:val="0014271A"/>
    <w:rsid w:val="00153809"/>
    <w:rsid w:val="0016038C"/>
    <w:rsid w:val="0016084D"/>
    <w:rsid w:val="00194A9C"/>
    <w:rsid w:val="001A7A13"/>
    <w:rsid w:val="001B01E7"/>
    <w:rsid w:val="001C0C68"/>
    <w:rsid w:val="001C25E6"/>
    <w:rsid w:val="001F275D"/>
    <w:rsid w:val="001F43FF"/>
    <w:rsid w:val="001F64C2"/>
    <w:rsid w:val="001F6CAB"/>
    <w:rsid w:val="00212AF3"/>
    <w:rsid w:val="00221D2A"/>
    <w:rsid w:val="00232546"/>
    <w:rsid w:val="0023359E"/>
    <w:rsid w:val="00237172"/>
    <w:rsid w:val="002612A3"/>
    <w:rsid w:val="00271A3D"/>
    <w:rsid w:val="002A1BEC"/>
    <w:rsid w:val="002A48DC"/>
    <w:rsid w:val="002C0BDE"/>
    <w:rsid w:val="0031024F"/>
    <w:rsid w:val="00314FFD"/>
    <w:rsid w:val="00325C06"/>
    <w:rsid w:val="00336EFC"/>
    <w:rsid w:val="003410FA"/>
    <w:rsid w:val="00347557"/>
    <w:rsid w:val="003506EF"/>
    <w:rsid w:val="003746A1"/>
    <w:rsid w:val="003776D5"/>
    <w:rsid w:val="00380CF0"/>
    <w:rsid w:val="0038540A"/>
    <w:rsid w:val="003943D1"/>
    <w:rsid w:val="003A561A"/>
    <w:rsid w:val="003C11BF"/>
    <w:rsid w:val="003C5095"/>
    <w:rsid w:val="003C615A"/>
    <w:rsid w:val="003E4CBB"/>
    <w:rsid w:val="003F0C31"/>
    <w:rsid w:val="00401270"/>
    <w:rsid w:val="00402910"/>
    <w:rsid w:val="00405C85"/>
    <w:rsid w:val="004134D4"/>
    <w:rsid w:val="00415F09"/>
    <w:rsid w:val="0042136E"/>
    <w:rsid w:val="00422C65"/>
    <w:rsid w:val="00427A92"/>
    <w:rsid w:val="00471E10"/>
    <w:rsid w:val="00475EE0"/>
    <w:rsid w:val="004810DB"/>
    <w:rsid w:val="004819A0"/>
    <w:rsid w:val="00482315"/>
    <w:rsid w:val="00493EDD"/>
    <w:rsid w:val="004A4B2A"/>
    <w:rsid w:val="004C69CF"/>
    <w:rsid w:val="004E6E06"/>
    <w:rsid w:val="00507B95"/>
    <w:rsid w:val="00544F18"/>
    <w:rsid w:val="00553F3A"/>
    <w:rsid w:val="00554508"/>
    <w:rsid w:val="00556685"/>
    <w:rsid w:val="0055677F"/>
    <w:rsid w:val="005665AE"/>
    <w:rsid w:val="00570999"/>
    <w:rsid w:val="00581ADC"/>
    <w:rsid w:val="00583F58"/>
    <w:rsid w:val="00591174"/>
    <w:rsid w:val="005A6653"/>
    <w:rsid w:val="005B0457"/>
    <w:rsid w:val="005C04F5"/>
    <w:rsid w:val="005C54DE"/>
    <w:rsid w:val="005F183B"/>
    <w:rsid w:val="005F4D85"/>
    <w:rsid w:val="00613AC3"/>
    <w:rsid w:val="00660171"/>
    <w:rsid w:val="00663530"/>
    <w:rsid w:val="0068592A"/>
    <w:rsid w:val="00691C65"/>
    <w:rsid w:val="006C2026"/>
    <w:rsid w:val="006D1F87"/>
    <w:rsid w:val="006D7246"/>
    <w:rsid w:val="006F58B8"/>
    <w:rsid w:val="00713041"/>
    <w:rsid w:val="00713CE0"/>
    <w:rsid w:val="007428D1"/>
    <w:rsid w:val="00743C42"/>
    <w:rsid w:val="00745007"/>
    <w:rsid w:val="00746308"/>
    <w:rsid w:val="007648E6"/>
    <w:rsid w:val="00767582"/>
    <w:rsid w:val="00777E0E"/>
    <w:rsid w:val="0078618A"/>
    <w:rsid w:val="00790A82"/>
    <w:rsid w:val="007B0B93"/>
    <w:rsid w:val="007B2B53"/>
    <w:rsid w:val="007D3981"/>
    <w:rsid w:val="007D66A5"/>
    <w:rsid w:val="007E1EC1"/>
    <w:rsid w:val="007E4565"/>
    <w:rsid w:val="007E62BA"/>
    <w:rsid w:val="007F3BDC"/>
    <w:rsid w:val="00813CB0"/>
    <w:rsid w:val="00813F7D"/>
    <w:rsid w:val="00826C62"/>
    <w:rsid w:val="0083243D"/>
    <w:rsid w:val="0085036B"/>
    <w:rsid w:val="008541AB"/>
    <w:rsid w:val="00875BFB"/>
    <w:rsid w:val="0089197E"/>
    <w:rsid w:val="008937C2"/>
    <w:rsid w:val="008C05E3"/>
    <w:rsid w:val="008C5412"/>
    <w:rsid w:val="008C5DE1"/>
    <w:rsid w:val="008D51EA"/>
    <w:rsid w:val="008E799B"/>
    <w:rsid w:val="0090401A"/>
    <w:rsid w:val="00906956"/>
    <w:rsid w:val="009113F6"/>
    <w:rsid w:val="009258CB"/>
    <w:rsid w:val="009376B3"/>
    <w:rsid w:val="00976124"/>
    <w:rsid w:val="00985C5D"/>
    <w:rsid w:val="00992DC7"/>
    <w:rsid w:val="00997D16"/>
    <w:rsid w:val="009C6CB2"/>
    <w:rsid w:val="009C7FB5"/>
    <w:rsid w:val="009E6779"/>
    <w:rsid w:val="009F61FD"/>
    <w:rsid w:val="00A02D71"/>
    <w:rsid w:val="00A125F9"/>
    <w:rsid w:val="00A12FEC"/>
    <w:rsid w:val="00A1700A"/>
    <w:rsid w:val="00A17BDD"/>
    <w:rsid w:val="00A24558"/>
    <w:rsid w:val="00A47508"/>
    <w:rsid w:val="00A60DD3"/>
    <w:rsid w:val="00A64B2E"/>
    <w:rsid w:val="00A732DC"/>
    <w:rsid w:val="00A82A56"/>
    <w:rsid w:val="00A82E53"/>
    <w:rsid w:val="00A874B9"/>
    <w:rsid w:val="00A91CB7"/>
    <w:rsid w:val="00A97E23"/>
    <w:rsid w:val="00AA56E6"/>
    <w:rsid w:val="00AA5C44"/>
    <w:rsid w:val="00AB0DA5"/>
    <w:rsid w:val="00AB2997"/>
    <w:rsid w:val="00AC3F84"/>
    <w:rsid w:val="00AD1C2F"/>
    <w:rsid w:val="00AE0886"/>
    <w:rsid w:val="00AE354B"/>
    <w:rsid w:val="00AF6649"/>
    <w:rsid w:val="00B00BD8"/>
    <w:rsid w:val="00B06984"/>
    <w:rsid w:val="00B23B97"/>
    <w:rsid w:val="00B30B07"/>
    <w:rsid w:val="00B31323"/>
    <w:rsid w:val="00B31568"/>
    <w:rsid w:val="00B40AB7"/>
    <w:rsid w:val="00B4646D"/>
    <w:rsid w:val="00B67A82"/>
    <w:rsid w:val="00B81350"/>
    <w:rsid w:val="00BA198F"/>
    <w:rsid w:val="00BA5038"/>
    <w:rsid w:val="00BA590C"/>
    <w:rsid w:val="00BC25E7"/>
    <w:rsid w:val="00BD0BA7"/>
    <w:rsid w:val="00BE483F"/>
    <w:rsid w:val="00BF0829"/>
    <w:rsid w:val="00BF4ED1"/>
    <w:rsid w:val="00C060BC"/>
    <w:rsid w:val="00C108DE"/>
    <w:rsid w:val="00C274FF"/>
    <w:rsid w:val="00C5404D"/>
    <w:rsid w:val="00C56FB1"/>
    <w:rsid w:val="00C64F21"/>
    <w:rsid w:val="00C84C30"/>
    <w:rsid w:val="00C9285B"/>
    <w:rsid w:val="00C93419"/>
    <w:rsid w:val="00C95DF1"/>
    <w:rsid w:val="00CA064B"/>
    <w:rsid w:val="00CB3D71"/>
    <w:rsid w:val="00CD15B9"/>
    <w:rsid w:val="00CE3593"/>
    <w:rsid w:val="00CF7355"/>
    <w:rsid w:val="00D05EA5"/>
    <w:rsid w:val="00D2415B"/>
    <w:rsid w:val="00D47A11"/>
    <w:rsid w:val="00D5288A"/>
    <w:rsid w:val="00D627C9"/>
    <w:rsid w:val="00D67C27"/>
    <w:rsid w:val="00D76CD1"/>
    <w:rsid w:val="00D77477"/>
    <w:rsid w:val="00D8427C"/>
    <w:rsid w:val="00D92476"/>
    <w:rsid w:val="00DD09C3"/>
    <w:rsid w:val="00DF091E"/>
    <w:rsid w:val="00E041A3"/>
    <w:rsid w:val="00E05043"/>
    <w:rsid w:val="00E2278C"/>
    <w:rsid w:val="00E22D41"/>
    <w:rsid w:val="00E26A7B"/>
    <w:rsid w:val="00E5003D"/>
    <w:rsid w:val="00E54EA2"/>
    <w:rsid w:val="00E869B3"/>
    <w:rsid w:val="00E95B63"/>
    <w:rsid w:val="00EA1243"/>
    <w:rsid w:val="00ED7A83"/>
    <w:rsid w:val="00EE6C54"/>
    <w:rsid w:val="00F05854"/>
    <w:rsid w:val="00F06148"/>
    <w:rsid w:val="00F07D54"/>
    <w:rsid w:val="00F15391"/>
    <w:rsid w:val="00F258ED"/>
    <w:rsid w:val="00F479DD"/>
    <w:rsid w:val="00F56380"/>
    <w:rsid w:val="00F75DD1"/>
    <w:rsid w:val="00F835D7"/>
    <w:rsid w:val="00F84779"/>
    <w:rsid w:val="00F932A1"/>
    <w:rsid w:val="00FA588F"/>
    <w:rsid w:val="00FB5125"/>
    <w:rsid w:val="00FD4878"/>
    <w:rsid w:val="00FF4F6E"/>
    <w:rsid w:val="00FF6B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1961DC"/>
  <w14:defaultImageDpi w14:val="0"/>
  <w15:docId w15:val="{6FB4CEF3-4BAA-4478-B66B-F0EA84A6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de-DE" w:eastAsia="en-US"/>
    </w:rPr>
  </w:style>
  <w:style w:type="paragraph" w:styleId="Titre1">
    <w:name w:val="heading 1"/>
    <w:basedOn w:val="Normal"/>
    <w:next w:val="Normal"/>
    <w:link w:val="Titre1Car"/>
    <w:uiPriority w:val="9"/>
    <w:qFormat/>
    <w:pPr>
      <w:keepNext/>
      <w:spacing w:line="260" w:lineRule="exact"/>
      <w:jc w:val="both"/>
      <w:outlineLvl w:val="0"/>
    </w:pPr>
    <w:rPr>
      <w:b/>
    </w:rPr>
  </w:style>
  <w:style w:type="paragraph" w:styleId="Titre2">
    <w:name w:val="heading 2"/>
    <w:basedOn w:val="Normal"/>
    <w:next w:val="Normal"/>
    <w:link w:val="Titre2Car"/>
    <w:uiPriority w:val="9"/>
    <w:qFormat/>
    <w:pPr>
      <w:keepNext/>
      <w:tabs>
        <w:tab w:val="left" w:pos="567"/>
      </w:tabs>
      <w:outlineLvl w:val="1"/>
    </w:pPr>
    <w:rPr>
      <w:b/>
    </w:rPr>
  </w:style>
  <w:style w:type="paragraph" w:styleId="Titre3">
    <w:name w:val="heading 3"/>
    <w:basedOn w:val="Normal"/>
    <w:next w:val="Normal"/>
    <w:link w:val="Titre3Car"/>
    <w:uiPriority w:val="9"/>
    <w:qFormat/>
    <w:pPr>
      <w:keepNext/>
      <w:spacing w:line="260" w:lineRule="exact"/>
      <w:jc w:val="both"/>
      <w:outlineLvl w:val="2"/>
    </w:pPr>
  </w:style>
  <w:style w:type="paragraph" w:styleId="Titre4">
    <w:name w:val="heading 4"/>
    <w:basedOn w:val="Normal"/>
    <w:next w:val="Normal"/>
    <w:link w:val="Titre4Car"/>
    <w:uiPriority w:val="9"/>
    <w:qFormat/>
    <w:pPr>
      <w:keepNext/>
      <w:tabs>
        <w:tab w:val="left" w:pos="567"/>
      </w:tabs>
      <w:spacing w:line="260" w:lineRule="exact"/>
      <w:jc w:val="both"/>
      <w:outlineLvl w:val="3"/>
    </w:pPr>
    <w:rPr>
      <w:b/>
      <w:noProof/>
    </w:rPr>
  </w:style>
  <w:style w:type="paragraph" w:styleId="Titre5">
    <w:name w:val="heading 5"/>
    <w:basedOn w:val="Normal"/>
    <w:next w:val="Normal"/>
    <w:link w:val="Titre5Car"/>
    <w:uiPriority w:val="9"/>
    <w:qFormat/>
    <w:pPr>
      <w:keepNext/>
      <w:jc w:val="center"/>
      <w:outlineLvl w:val="4"/>
    </w:pPr>
    <w:rPr>
      <w:b/>
    </w:rPr>
  </w:style>
  <w:style w:type="paragraph" w:styleId="Titre6">
    <w:name w:val="heading 6"/>
    <w:basedOn w:val="Normal"/>
    <w:next w:val="Normal"/>
    <w:link w:val="Titre6Car"/>
    <w:uiPriority w:val="9"/>
    <w:qFormat/>
    <w:pPr>
      <w:keepNext/>
      <w:tabs>
        <w:tab w:val="left" w:pos="-720"/>
        <w:tab w:val="left" w:pos="567"/>
        <w:tab w:val="left" w:pos="4536"/>
      </w:tabs>
      <w:suppressAutoHyphens/>
      <w:spacing w:line="260" w:lineRule="exact"/>
      <w:outlineLvl w:val="5"/>
    </w:pPr>
    <w:rPr>
      <w:i/>
      <w:lang w:val="en-GB"/>
    </w:rPr>
  </w:style>
  <w:style w:type="paragraph" w:styleId="Titre7">
    <w:name w:val="heading 7"/>
    <w:basedOn w:val="Normal"/>
    <w:next w:val="Normal"/>
    <w:link w:val="Titre7Car"/>
    <w:uiPriority w:val="9"/>
    <w:qFormat/>
    <w:pPr>
      <w:keepNext/>
      <w:tabs>
        <w:tab w:val="left" w:pos="-720"/>
        <w:tab w:val="left" w:pos="567"/>
        <w:tab w:val="left" w:pos="4536"/>
      </w:tabs>
      <w:suppressAutoHyphens/>
      <w:spacing w:line="260" w:lineRule="exact"/>
      <w:jc w:val="both"/>
      <w:outlineLvl w:val="6"/>
    </w:pPr>
    <w:rPr>
      <w:i/>
      <w:lang w:val="en-GB"/>
    </w:rPr>
  </w:style>
  <w:style w:type="paragraph" w:styleId="Titre8">
    <w:name w:val="heading 8"/>
    <w:basedOn w:val="Normal"/>
    <w:next w:val="Normal"/>
    <w:link w:val="Titre8Car"/>
    <w:uiPriority w:val="9"/>
    <w:qFormat/>
    <w:pPr>
      <w:keepNext/>
      <w:ind w:left="1494" w:hanging="360"/>
      <w:outlineLvl w:val="7"/>
    </w:pPr>
    <w:rPr>
      <w:b/>
    </w:rPr>
  </w:style>
  <w:style w:type="paragraph" w:styleId="Titre9">
    <w:name w:val="heading 9"/>
    <w:basedOn w:val="Normal"/>
    <w:next w:val="Normal"/>
    <w:link w:val="Titre9Car"/>
    <w:uiPriority w:val="9"/>
    <w:qFormat/>
    <w:pPr>
      <w:keepNext/>
      <w:shd w:val="pct25" w:color="000000" w:fill="FFFFFF"/>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Times New Roman" w:hAnsi="Cambria" w:cs="Times New Roman"/>
      <w:b/>
      <w:bCs/>
      <w:kern w:val="32"/>
      <w:sz w:val="32"/>
      <w:szCs w:val="32"/>
      <w:lang w:val="x-none" w:eastAsia="en-US"/>
    </w:rPr>
  </w:style>
  <w:style w:type="character" w:customStyle="1" w:styleId="Titre2Car">
    <w:name w:val="Titre 2 Car"/>
    <w:link w:val="Titre2"/>
    <w:uiPriority w:val="9"/>
    <w:semiHidden/>
    <w:locked/>
    <w:rPr>
      <w:rFonts w:ascii="Cambria" w:eastAsia="Times New Roman" w:hAnsi="Cambria" w:cs="Times New Roman"/>
      <w:b/>
      <w:bCs/>
      <w:i/>
      <w:iCs/>
      <w:sz w:val="28"/>
      <w:szCs w:val="28"/>
      <w:lang w:val="x-none" w:eastAsia="en-US"/>
    </w:rPr>
  </w:style>
  <w:style w:type="character" w:customStyle="1" w:styleId="Titre3Car">
    <w:name w:val="Titre 3 Car"/>
    <w:link w:val="Titre3"/>
    <w:uiPriority w:val="9"/>
    <w:semiHidden/>
    <w:locked/>
    <w:rPr>
      <w:rFonts w:ascii="Cambria" w:eastAsia="Times New Roman" w:hAnsi="Cambria" w:cs="Times New Roman"/>
      <w:b/>
      <w:bCs/>
      <w:sz w:val="26"/>
      <w:szCs w:val="26"/>
      <w:lang w:val="x-none" w:eastAsia="en-US"/>
    </w:rPr>
  </w:style>
  <w:style w:type="character" w:customStyle="1" w:styleId="Titre4Car">
    <w:name w:val="Titre 4 Car"/>
    <w:link w:val="Titre4"/>
    <w:uiPriority w:val="9"/>
    <w:semiHidden/>
    <w:locked/>
    <w:rPr>
      <w:rFonts w:ascii="Calibri" w:eastAsia="Times New Roman" w:hAnsi="Calibri" w:cs="Times New Roman"/>
      <w:b/>
      <w:bCs/>
      <w:sz w:val="28"/>
      <w:szCs w:val="28"/>
      <w:lang w:val="x-none" w:eastAsia="en-US"/>
    </w:rPr>
  </w:style>
  <w:style w:type="character" w:customStyle="1" w:styleId="Titre5Car">
    <w:name w:val="Titre 5 Car"/>
    <w:link w:val="Titre5"/>
    <w:uiPriority w:val="9"/>
    <w:semiHidden/>
    <w:locked/>
    <w:rPr>
      <w:rFonts w:ascii="Calibri" w:eastAsia="Times New Roman" w:hAnsi="Calibri" w:cs="Times New Roman"/>
      <w:b/>
      <w:bCs/>
      <w:i/>
      <w:iCs/>
      <w:sz w:val="26"/>
      <w:szCs w:val="26"/>
      <w:lang w:val="x-none" w:eastAsia="en-US"/>
    </w:rPr>
  </w:style>
  <w:style w:type="character" w:customStyle="1" w:styleId="Titre6Car">
    <w:name w:val="Titre 6 Car"/>
    <w:link w:val="Titre6"/>
    <w:uiPriority w:val="9"/>
    <w:semiHidden/>
    <w:locked/>
    <w:rPr>
      <w:rFonts w:ascii="Calibri" w:eastAsia="Times New Roman" w:hAnsi="Calibri" w:cs="Times New Roman"/>
      <w:b/>
      <w:bCs/>
      <w:sz w:val="22"/>
      <w:szCs w:val="22"/>
      <w:lang w:val="x-none" w:eastAsia="en-US"/>
    </w:rPr>
  </w:style>
  <w:style w:type="character" w:customStyle="1" w:styleId="Titre7Car">
    <w:name w:val="Titre 7 Car"/>
    <w:link w:val="Titre7"/>
    <w:uiPriority w:val="9"/>
    <w:semiHidden/>
    <w:locked/>
    <w:rPr>
      <w:rFonts w:ascii="Calibri" w:eastAsia="Times New Roman" w:hAnsi="Calibri" w:cs="Times New Roman"/>
      <w:sz w:val="24"/>
      <w:szCs w:val="24"/>
      <w:lang w:val="x-none" w:eastAsia="en-US"/>
    </w:rPr>
  </w:style>
  <w:style w:type="character" w:customStyle="1" w:styleId="Titre8Car">
    <w:name w:val="Titre 8 Car"/>
    <w:link w:val="Titre8"/>
    <w:uiPriority w:val="9"/>
    <w:semiHidden/>
    <w:locked/>
    <w:rPr>
      <w:rFonts w:ascii="Calibri" w:eastAsia="Times New Roman" w:hAnsi="Calibri" w:cs="Times New Roman"/>
      <w:i/>
      <w:iCs/>
      <w:sz w:val="24"/>
      <w:szCs w:val="24"/>
      <w:lang w:val="x-none" w:eastAsia="en-US"/>
    </w:rPr>
  </w:style>
  <w:style w:type="character" w:customStyle="1" w:styleId="Titre9Car">
    <w:name w:val="Titre 9 Car"/>
    <w:link w:val="Titre9"/>
    <w:uiPriority w:val="9"/>
    <w:semiHidden/>
    <w:locked/>
    <w:rPr>
      <w:rFonts w:ascii="Cambria" w:eastAsia="Times New Roman" w:hAnsi="Cambria" w:cs="Times New Roman"/>
      <w:sz w:val="22"/>
      <w:szCs w:val="22"/>
      <w:lang w:val="x-none" w:eastAsia="en-US"/>
    </w:rPr>
  </w:style>
  <w:style w:type="character" w:styleId="Numrodepage">
    <w:name w:val="page number"/>
    <w:uiPriority w:val="99"/>
    <w:rPr>
      <w:rFonts w:cs="Times New Roman"/>
    </w:rPr>
  </w:style>
  <w:style w:type="paragraph" w:styleId="En-tte">
    <w:name w:val="header"/>
    <w:basedOn w:val="Normal"/>
    <w:link w:val="En-tteCar"/>
    <w:uiPriority w:val="99"/>
    <w:pPr>
      <w:tabs>
        <w:tab w:val="center" w:pos="4320"/>
        <w:tab w:val="right" w:pos="8640"/>
      </w:tabs>
    </w:pPr>
  </w:style>
  <w:style w:type="character" w:customStyle="1" w:styleId="En-tteCar">
    <w:name w:val="En-tête Car"/>
    <w:link w:val="En-tte"/>
    <w:uiPriority w:val="99"/>
    <w:semiHidden/>
    <w:locked/>
    <w:rPr>
      <w:rFonts w:cs="Times New Roman"/>
      <w:sz w:val="22"/>
      <w:lang w:val="x-none" w:eastAsia="en-US"/>
    </w:rPr>
  </w:style>
  <w:style w:type="paragraph" w:styleId="Pieddepage">
    <w:name w:val="footer"/>
    <w:basedOn w:val="Normal"/>
    <w:link w:val="PieddepageCar"/>
    <w:uiPriority w:val="99"/>
    <w:pPr>
      <w:tabs>
        <w:tab w:val="center" w:pos="4536"/>
        <w:tab w:val="center" w:pos="8930"/>
      </w:tabs>
    </w:pPr>
    <w:rPr>
      <w:rFonts w:ascii="Helvetica" w:hAnsi="Helvetica"/>
      <w:sz w:val="16"/>
      <w:lang w:val="es-ES_tradnl"/>
    </w:rPr>
  </w:style>
  <w:style w:type="character" w:customStyle="1" w:styleId="PieddepageCar">
    <w:name w:val="Pied de page Car"/>
    <w:link w:val="Pieddepage"/>
    <w:uiPriority w:val="99"/>
    <w:semiHidden/>
    <w:locked/>
    <w:rPr>
      <w:rFonts w:cs="Times New Roman"/>
      <w:sz w:val="22"/>
      <w:lang w:val="x-none" w:eastAsia="en-US"/>
    </w:rPr>
  </w:style>
  <w:style w:type="paragraph" w:styleId="Retraitcorpsdetexte">
    <w:name w:val="Body Text Indent"/>
    <w:basedOn w:val="Normal"/>
    <w:link w:val="RetraitcorpsdetexteCar"/>
    <w:uiPriority w:val="99"/>
    <w:pPr>
      <w:shd w:val="pct25" w:color="000000" w:fill="FFFFFF"/>
      <w:ind w:left="567" w:hanging="567"/>
    </w:pPr>
    <w:rPr>
      <w:b/>
    </w:rPr>
  </w:style>
  <w:style w:type="character" w:customStyle="1" w:styleId="RetraitcorpsdetexteCar">
    <w:name w:val="Retrait corps de texte Car"/>
    <w:link w:val="Retraitcorpsdetexte"/>
    <w:uiPriority w:val="99"/>
    <w:semiHidden/>
    <w:locked/>
    <w:rPr>
      <w:rFonts w:cs="Times New Roman"/>
      <w:sz w:val="22"/>
      <w:lang w:val="x-none" w:eastAsia="en-US"/>
    </w:rPr>
  </w:style>
  <w:style w:type="character" w:styleId="Lienhypertexte">
    <w:name w:val="Hyperlink"/>
    <w:uiPriority w:val="99"/>
    <w:rPr>
      <w:rFonts w:cs="Times New Roman"/>
      <w:color w:val="0000FF"/>
      <w:u w:val="single"/>
    </w:rPr>
  </w:style>
  <w:style w:type="paragraph" w:customStyle="1" w:styleId="EMEAEnBodyText">
    <w:name w:val="EMEA En Body Text"/>
    <w:basedOn w:val="Normal"/>
    <w:pPr>
      <w:spacing w:before="120" w:after="120"/>
      <w:jc w:val="both"/>
    </w:pPr>
    <w:rPr>
      <w:lang w:val="en-US"/>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locked/>
    <w:rPr>
      <w:rFonts w:ascii="Tahoma" w:hAnsi="Tahoma" w:cs="Tahoma"/>
      <w:sz w:val="16"/>
      <w:szCs w:val="16"/>
      <w:lang w:val="x-none" w:eastAsia="en-US"/>
    </w:rPr>
  </w:style>
  <w:style w:type="character" w:styleId="Lienhypertextesuivivisit">
    <w:name w:val="FollowedHyperlink"/>
    <w:uiPriority w:val="99"/>
    <w:rPr>
      <w:rFonts w:cs="Times New Roman"/>
      <w:color w:val="800080"/>
      <w:u w:val="single"/>
    </w:rPr>
  </w:style>
  <w:style w:type="character" w:styleId="Marquedecommentaire">
    <w:name w:val="annotation reference"/>
    <w:uiPriority w:val="99"/>
    <w:semiHidden/>
    <w:unhideWhenUsed/>
    <w:rPr>
      <w:rFonts w:cs="Times New Roman"/>
      <w:sz w:val="16"/>
    </w:rPr>
  </w:style>
  <w:style w:type="paragraph" w:styleId="Commentaire">
    <w:name w:val="annotation text"/>
    <w:basedOn w:val="Normal"/>
    <w:link w:val="CommentaireCar"/>
    <w:uiPriority w:val="99"/>
    <w:semiHidden/>
    <w:unhideWhenUsed/>
    <w:rPr>
      <w:sz w:val="20"/>
    </w:rPr>
  </w:style>
  <w:style w:type="character" w:customStyle="1" w:styleId="CommentaireCar">
    <w:name w:val="Commentaire Car"/>
    <w:link w:val="Commentaire"/>
    <w:uiPriority w:val="99"/>
    <w:semiHidden/>
    <w:locked/>
    <w:rPr>
      <w:rFonts w:cs="Times New Roman"/>
      <w:lang w:val="x-none" w:eastAsia="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locked/>
    <w:rPr>
      <w:rFonts w:cs="Times New Roman"/>
      <w:b/>
      <w:lang w:val="x-none" w:eastAsia="en-US"/>
    </w:rPr>
  </w:style>
  <w:style w:type="paragraph" w:customStyle="1" w:styleId="knZulassung02">
    <w:name w:val="knZulassung02"/>
    <w:basedOn w:val="Normal"/>
    <w:uiPriority w:val="99"/>
    <w:rsid w:val="00570999"/>
    <w:pPr>
      <w:autoSpaceDE w:val="0"/>
      <w:autoSpaceDN w:val="0"/>
      <w:ind w:left="1843" w:right="284"/>
    </w:pPr>
    <w:rPr>
      <w:rFonts w:cs="Arial"/>
      <w:szCs w:val="22"/>
      <w:lang w:eastAsia="de-DE"/>
    </w:rPr>
  </w:style>
  <w:style w:type="paragraph" w:customStyle="1" w:styleId="Default">
    <w:name w:val="Default"/>
    <w:rsid w:val="00F75DD1"/>
    <w:pPr>
      <w:autoSpaceDE w:val="0"/>
      <w:autoSpaceDN w:val="0"/>
      <w:adjustRightInd w:val="0"/>
    </w:pPr>
    <w:rPr>
      <w:rFonts w:ascii="Verdana" w:hAnsi="Verdana" w:cs="Verdana"/>
      <w:color w:val="000000"/>
      <w:sz w:val="24"/>
      <w:szCs w:val="24"/>
      <w:lang w:val="fr-FR" w:eastAsia="fr-FR"/>
    </w:rPr>
  </w:style>
  <w:style w:type="paragraph" w:styleId="Rvision">
    <w:name w:val="Revision"/>
    <w:hidden/>
    <w:uiPriority w:val="99"/>
    <w:semiHidden/>
    <w:rsid w:val="00271A3D"/>
    <w:rPr>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1A27A-92D6-4522-B78C-223FFA1D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2172</Words>
  <Characters>11948</Characters>
  <Application>Microsoft Office Word</Application>
  <DocSecurity>0</DocSecurity>
  <Lines>99</Lines>
  <Paragraphs>28</Paragraphs>
  <ScaleCrop>false</ScaleCrop>
  <Company>EMEA</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Hreferralspccleande</dc:title>
  <dc:subject>General-EMA/53546/2010</dc:subject>
  <dc:creator>Offermann, Rita</dc:creator>
  <cp:keywords/>
  <dc:description/>
  <cp:lastModifiedBy>Mey Bendjellit</cp:lastModifiedBy>
  <cp:revision>2</cp:revision>
  <cp:lastPrinted>2013-10-25T06:48:00Z</cp:lastPrinted>
  <dcterms:created xsi:type="dcterms:W3CDTF">2024-06-11T15:42:00Z</dcterms:created>
  <dcterms:modified xsi:type="dcterms:W3CDTF">2024-06-11T15:42:00Z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53546</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General-EMA/53546/2010</vt:lpwstr>
  </property>
  <property fmtid="{D5CDD505-2E9C-101B-9397-08002B2CF9AE}" pid="30" name="DM_Version">
    <vt:lpwstr>CURRENT,1.0</vt:lpwstr>
  </property>
  <property fmtid="{D5CDD505-2E9C-101B-9397-08002B2CF9AE}" pid="31" name="DM_Name">
    <vt:lpwstr>Hreferralspccleande</vt:lpwstr>
  </property>
  <property fmtid="{D5CDD505-2E9C-101B-9397-08002B2CF9AE}" pid="32" name="DM_Creation_Date">
    <vt:lpwstr>04/04/2013 15:45:01</vt:lpwstr>
  </property>
  <property fmtid="{D5CDD505-2E9C-101B-9397-08002B2CF9AE}" pid="33" name="DM_Modify_Date">
    <vt:lpwstr>04/04/2013 15:45:02</vt:lpwstr>
  </property>
  <property fmtid="{D5CDD505-2E9C-101B-9397-08002B2CF9AE}" pid="34" name="DM_Creator_Name">
    <vt:lpwstr>Horemans Karina</vt:lpwstr>
  </property>
  <property fmtid="{D5CDD505-2E9C-101B-9397-08002B2CF9AE}" pid="35" name="DM_Modifier_Name">
    <vt:lpwstr>Horemans Karina</vt:lpwstr>
  </property>
  <property fmtid="{D5CDD505-2E9C-101B-9397-08002B2CF9AE}" pid="36" name="DM_Type">
    <vt:lpwstr>emea_document</vt:lpwstr>
  </property>
  <property fmtid="{D5CDD505-2E9C-101B-9397-08002B2CF9AE}" pid="37" name="DM_DocRefId">
    <vt:lpwstr>EMA/213249/2013</vt:lpwstr>
  </property>
  <property fmtid="{D5CDD505-2E9C-101B-9397-08002B2CF9AE}" pid="38" name="DM_Category">
    <vt:lpwstr>Product Information</vt:lpwstr>
  </property>
  <property fmtid="{D5CDD505-2E9C-101B-9397-08002B2CF9AE}" pid="39" name="DM_Path">
    <vt:lpwstr>/02b. Administration of Scientific Meeting/WPs SAGs DGs and other WGs/CxMP - QRD/3. Other activities/02. Procedures/01. QRD PI templates/03 QRD H-Referral templates/05 H Referral template v 3.0 (Phvig)/03 Final templates for publication/Clean templates</vt:lpwstr>
  </property>
  <property fmtid="{D5CDD505-2E9C-101B-9397-08002B2CF9AE}" pid="40" name="DM_emea_doc_ref_id">
    <vt:lpwstr>EMA/213249/2013</vt:lpwstr>
  </property>
  <property fmtid="{D5CDD505-2E9C-101B-9397-08002B2CF9AE}" pid="41" name="DM_Modifer_Name">
    <vt:lpwstr>Horemans Karina</vt:lpwstr>
  </property>
  <property fmtid="{D5CDD505-2E9C-101B-9397-08002B2CF9AE}" pid="42" name="DM_Modified_Date">
    <vt:lpwstr>04/04/2013 15:45:02</vt:lpwstr>
  </property>
</Properties>
</file>